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86FFD5" w14:textId="77777777" w:rsidR="00BE75CD" w:rsidRDefault="00F46D71" w:rsidP="00BE75CD">
      <w:pPr>
        <w:pStyle w:val="Heading1"/>
      </w:pPr>
      <w:r>
        <w:rPr>
          <w:noProof/>
          <w:lang w:eastAsia="en-AU"/>
        </w:rPr>
        <mc:AlternateContent>
          <mc:Choice Requires="wps">
            <w:drawing>
              <wp:anchor distT="0" distB="0" distL="114300" distR="114300" simplePos="0" relativeHeight="251659264" behindDoc="0" locked="1" layoutInCell="1" allowOverlap="1" wp14:anchorId="44FBCA41" wp14:editId="0A8AFFD3">
                <wp:simplePos x="0" y="0"/>
                <wp:positionH relativeFrom="margin">
                  <wp:align>left</wp:align>
                </wp:positionH>
                <wp:positionV relativeFrom="margin">
                  <wp:posOffset>-1980565</wp:posOffset>
                </wp:positionV>
                <wp:extent cx="4320000" cy="1800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20000" cy="1800000"/>
                        </a:xfrm>
                        <a:prstGeom prst="rect">
                          <a:avLst/>
                        </a:prstGeom>
                        <a:noFill/>
                        <a:ln w="6350">
                          <a:noFill/>
                        </a:ln>
                      </wps:spPr>
                      <wps:txbx>
                        <w:txbxContent>
                          <w:p w14:paraId="3C10DE10" w14:textId="77777777" w:rsidR="00BE75CD" w:rsidRDefault="00B84860" w:rsidP="00265DCB">
                            <w:pPr>
                              <w:pStyle w:val="Title"/>
                              <w:rPr>
                                <w:lang w:val="en-US"/>
                              </w:rPr>
                            </w:pPr>
                            <w:r>
                              <w:rPr>
                                <w:lang w:val="en-US"/>
                              </w:rPr>
                              <w:t>Essential Eight</w:t>
                            </w:r>
                            <w:r>
                              <w:rPr>
                                <w:lang w:val="en-US"/>
                              </w:rPr>
                              <w:br/>
                              <w:t>Maturity Model</w:t>
                            </w:r>
                          </w:p>
                          <w:p w14:paraId="6E23E460" w14:textId="3AC84614" w:rsidR="00DF5887" w:rsidRPr="00BA5FA4" w:rsidRDefault="00242B05" w:rsidP="00DF5887">
                            <w:pPr>
                              <w:pStyle w:val="BodyText"/>
                              <w:rPr>
                                <w:lang w:val="en-US"/>
                              </w:rPr>
                            </w:pPr>
                            <w:r>
                              <w:rPr>
                                <w:lang w:val="en-US"/>
                              </w:rPr>
                              <w:t>JU</w:t>
                            </w:r>
                            <w:r w:rsidR="00325403">
                              <w:rPr>
                                <w:lang w:val="en-US"/>
                              </w:rPr>
                              <w:t>LY</w:t>
                            </w:r>
                            <w:r w:rsidR="00DF5887">
                              <w:rPr>
                                <w:lang w:val="en-US"/>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CA41" id="_x0000_t202" coordsize="21600,21600" o:spt="202" path="m,l,21600r21600,l21600,xe">
                <v:stroke joinstyle="miter"/>
                <v:path gradientshapeok="t" o:connecttype="rect"/>
              </v:shapetype>
              <v:shape id="Text Box 11" o:spid="_x0000_s1026" type="#_x0000_t202" style="position:absolute;margin-left:0;margin-top:-155.95pt;width:340.15pt;height:14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" filled="f" stroked="f" strokeweight=".5pt">
                <v:textbox>
                  <w:txbxContent>
                    <w:p w14:paraId="3C10DE10" w14:textId="77777777" w:rsidR="00BE75CD" w:rsidRDefault="00B84860" w:rsidP="00265DCB">
                      <w:pPr>
                        <w:pStyle w:val="Title"/>
                        <w:rPr>
                          <w:lang w:val="en-US"/>
                        </w:rPr>
                      </w:pPr>
                      <w:r>
                        <w:rPr>
                          <w:lang w:val="en-US"/>
                        </w:rPr>
                        <w:t>Essential Eight</w:t>
                      </w:r>
                      <w:r>
                        <w:rPr>
                          <w:lang w:val="en-US"/>
                        </w:rPr>
                        <w:br/>
                        <w:t>Maturity Model</w:t>
                      </w:r>
                    </w:p>
                    <w:p w14:paraId="6E23E460" w14:textId="3AC84614" w:rsidR="00DF5887" w:rsidRPr="00BA5FA4" w:rsidRDefault="00242B05" w:rsidP="00DF5887">
                      <w:pPr>
                        <w:pStyle w:val="BodyText"/>
                        <w:rPr>
                          <w:lang w:val="en-US"/>
                        </w:rPr>
                      </w:pPr>
                      <w:r>
                        <w:rPr>
                          <w:lang w:val="en-US"/>
                        </w:rPr>
                        <w:t>JU</w:t>
                      </w:r>
                      <w:r w:rsidR="00325403">
                        <w:rPr>
                          <w:lang w:val="en-US"/>
                        </w:rPr>
                        <w:t>LY</w:t>
                      </w:r>
                      <w:r w:rsidR="00DF5887">
                        <w:rPr>
                          <w:lang w:val="en-US"/>
                        </w:rPr>
                        <w:t xml:space="preserve"> 2019</w:t>
                      </w:r>
                    </w:p>
                  </w:txbxContent>
                </v:textbox>
                <w10:wrap anchorx="margin" anchory="margin"/>
                <w10:anchorlock/>
              </v:shape>
            </w:pict>
          </mc:Fallback>
        </mc:AlternateContent>
      </w:r>
      <w:r w:rsidR="00B84860">
        <w:t>Introduction</w:t>
      </w:r>
    </w:p>
    <w:p w14:paraId="6F118F7A" w14:textId="39A44EFE" w:rsidR="00B84860" w:rsidRDefault="00B84860" w:rsidP="00B84860">
      <w:pPr>
        <w:pStyle w:val="BodyText"/>
      </w:pPr>
      <w:r>
        <w:t xml:space="preserve">The </w:t>
      </w:r>
      <w:r w:rsidR="003851B2">
        <w:t xml:space="preserve">Australian Signals Directorate’s </w:t>
      </w:r>
      <w:r>
        <w:t xml:space="preserve">Australian Cyber Security Centre (ACSC) has developed prioritised mitigation strategies, in the form of the </w:t>
      </w:r>
      <w:r w:rsidRPr="00B84860">
        <w:rPr>
          <w:rStyle w:val="BookTitle"/>
        </w:rPr>
        <w:t>Strategies to Mitigate Cyber Security Incidents</w:t>
      </w:r>
      <w:r>
        <w:t xml:space="preserve">, to help organisations mitigate cyber security incidents caused by various cyber threats. The most effective of these mitigation strategies are known as the Essential Eight. </w:t>
      </w:r>
    </w:p>
    <w:p w14:paraId="0FBA3A54" w14:textId="77777777" w:rsidR="00B84860" w:rsidRDefault="00B84860" w:rsidP="00B84860">
      <w:pPr>
        <w:pStyle w:val="Heading1"/>
      </w:pPr>
      <w:r>
        <w:t>Maturity levels</w:t>
      </w:r>
    </w:p>
    <w:p w14:paraId="765C577E" w14:textId="2F0A07F7" w:rsidR="00B84860" w:rsidRDefault="00B84860" w:rsidP="00B84860">
      <w:pPr>
        <w:pStyle w:val="BodyText"/>
      </w:pPr>
      <w:r>
        <w:t xml:space="preserve">To assist organisations in determining the maturity of their implementation of the Essential Eight, </w:t>
      </w:r>
      <w:r w:rsidR="00A115C6">
        <w:t xml:space="preserve">three </w:t>
      </w:r>
      <w:r>
        <w:t>maturity levels have been defined for each mitigation strategy. The maturity levels are defined as:</w:t>
      </w:r>
    </w:p>
    <w:p w14:paraId="34447C04" w14:textId="586ACFBE" w:rsidR="00B84860" w:rsidRDefault="00B84860" w:rsidP="00B84860">
      <w:pPr>
        <w:pStyle w:val="Bullets1"/>
      </w:pPr>
      <w:r>
        <w:t>Maturity Level One: Partly aligned with</w:t>
      </w:r>
      <w:r w:rsidR="00B54D18">
        <w:t xml:space="preserve"> the</w:t>
      </w:r>
      <w:r>
        <w:t xml:space="preserve"> intent of </w:t>
      </w:r>
      <w:r w:rsidR="00B54D18">
        <w:t xml:space="preserve">the </w:t>
      </w:r>
      <w:r>
        <w:t>mitigation strategy</w:t>
      </w:r>
    </w:p>
    <w:p w14:paraId="42566B23" w14:textId="09E4ED82" w:rsidR="00B84860" w:rsidRDefault="00B84860" w:rsidP="00B84860">
      <w:pPr>
        <w:pStyle w:val="Bullets1"/>
      </w:pPr>
      <w:r>
        <w:t xml:space="preserve">Maturity Level Two: Mostly aligned with </w:t>
      </w:r>
      <w:r w:rsidR="00B54D18">
        <w:t xml:space="preserve">the </w:t>
      </w:r>
      <w:r>
        <w:t xml:space="preserve">intent of </w:t>
      </w:r>
      <w:r w:rsidR="00B54D18">
        <w:t xml:space="preserve">the </w:t>
      </w:r>
      <w:r>
        <w:t>mitigation strategy</w:t>
      </w:r>
    </w:p>
    <w:p w14:paraId="0858F4B6" w14:textId="79F8B1EF" w:rsidR="00B84860" w:rsidRDefault="00B84860" w:rsidP="00B84860">
      <w:pPr>
        <w:pStyle w:val="Bullets1"/>
      </w:pPr>
      <w:r>
        <w:t xml:space="preserve">Maturity Level Three: Fully aligned with </w:t>
      </w:r>
      <w:r w:rsidR="00B54D18">
        <w:t xml:space="preserve">the </w:t>
      </w:r>
      <w:r>
        <w:t xml:space="preserve">intent of </w:t>
      </w:r>
      <w:r w:rsidR="00B54D18">
        <w:t xml:space="preserve">the </w:t>
      </w:r>
      <w:r>
        <w:t>mitigation strategy</w:t>
      </w:r>
      <w:r w:rsidR="00A115C6">
        <w:t>.</w:t>
      </w:r>
    </w:p>
    <w:p w14:paraId="2CF10986" w14:textId="77777777" w:rsidR="00B84860" w:rsidRDefault="00B84860" w:rsidP="00B84860">
      <w:pPr>
        <w:pStyle w:val="Heading1"/>
        <w:rPr>
          <w:szCs w:val="20"/>
        </w:rPr>
      </w:pPr>
      <w:r>
        <w:t>What maturity level to aim for</w:t>
      </w:r>
    </w:p>
    <w:p w14:paraId="6BAE24D5" w14:textId="383AE293" w:rsidR="00715C9C" w:rsidRDefault="00B84860" w:rsidP="00B84860">
      <w:pPr>
        <w:pStyle w:val="BodyText"/>
      </w:pPr>
      <w:r>
        <w:t xml:space="preserve">As a baseline organisations should aim to reach Maturity Level Three for each mitigation strategy. However, some organisations are constantly targeted by highly skilled adversaries, or otherwise operate in a higher risk environment. </w:t>
      </w:r>
      <w:r w:rsidR="00715C9C" w:rsidRPr="00715C9C">
        <w:t xml:space="preserve">Where the ACSC believes an organisation requires a maturity level above that </w:t>
      </w:r>
      <w:r w:rsidR="00715C9C">
        <w:t>of</w:t>
      </w:r>
      <w:r w:rsidR="00715C9C" w:rsidRPr="00715C9C">
        <w:t xml:space="preserve"> Maturity Level </w:t>
      </w:r>
      <w:r w:rsidR="00715C9C">
        <w:t>Three</w:t>
      </w:r>
      <w:r w:rsidR="00715C9C" w:rsidRPr="00715C9C">
        <w:t xml:space="preserve">, the ACSC </w:t>
      </w:r>
      <w:r w:rsidR="00715C9C">
        <w:t>will</w:t>
      </w:r>
      <w:r w:rsidR="00715C9C" w:rsidRPr="00715C9C">
        <w:t xml:space="preserve"> provide tailored advice to meet the specific needs of the organisation.</w:t>
      </w:r>
    </w:p>
    <w:p w14:paraId="4970939B" w14:textId="77777777" w:rsidR="00B84860" w:rsidRDefault="00B84860" w:rsidP="00B84860">
      <w:pPr>
        <w:pStyle w:val="Heading1"/>
      </w:pPr>
      <w:r>
        <w:t>Further information</w:t>
      </w:r>
    </w:p>
    <w:p w14:paraId="0AD80704" w14:textId="538A4981" w:rsidR="00013C48" w:rsidRDefault="00013C48" w:rsidP="00013C48">
      <w:pPr>
        <w:pStyle w:val="BodyText"/>
        <w:rPr>
          <w:color w:val="0000FF" w:themeColor="hyperlink"/>
          <w:u w:val="single"/>
        </w:rPr>
      </w:pPr>
      <w:r>
        <w:t xml:space="preserve">The </w:t>
      </w:r>
      <w:r>
        <w:rPr>
          <w:rStyle w:val="BookTitle"/>
        </w:rPr>
        <w:t>Australian Government Information Security Manual</w:t>
      </w:r>
      <w:r>
        <w:t xml:space="preserve"> (ISM) assists in the protection of information that is processed, stored or communicated by organisations’ systems. It can be found at </w:t>
      </w:r>
      <w:hyperlink r:id="rId7" w:history="1">
        <w:r>
          <w:rPr>
            <w:rStyle w:val="Hyperlink"/>
          </w:rPr>
          <w:t>https://www.cyber.gov.au/ism</w:t>
        </w:r>
      </w:hyperlink>
      <w:r>
        <w:t>.</w:t>
      </w:r>
    </w:p>
    <w:p w14:paraId="1C91EC29" w14:textId="77777777" w:rsidR="00013C48" w:rsidRDefault="00013C48" w:rsidP="00013C48">
      <w:pPr>
        <w:pStyle w:val="BodyText"/>
        <w:rPr>
          <w:color w:val="0000FF" w:themeColor="hyperlink"/>
          <w:u w:val="single"/>
        </w:rPr>
      </w:pPr>
      <w:r>
        <w:t xml:space="preserve">The </w:t>
      </w:r>
      <w:r>
        <w:rPr>
          <w:rStyle w:val="BookTitle"/>
        </w:rPr>
        <w:t>Strategies to Mitigate Cyber Security Incidents</w:t>
      </w:r>
      <w:r>
        <w:t xml:space="preserve"> complements the advice in the ISM. The complete list of strategies can be found at </w:t>
      </w:r>
      <w:hyperlink r:id="rId8" w:history="1">
        <w:r>
          <w:rPr>
            <w:rStyle w:val="Hyperlink"/>
          </w:rPr>
          <w:t>https://www.cyber.gov.au/publications/strategies-to-mitigate-cyber-security-incidents</w:t>
        </w:r>
      </w:hyperlink>
      <w:r>
        <w:t>.</w:t>
      </w:r>
    </w:p>
    <w:p w14:paraId="45580F3E" w14:textId="77777777" w:rsidR="00B84860" w:rsidRDefault="00B84860" w:rsidP="00B84860">
      <w:pPr>
        <w:pStyle w:val="Heading1"/>
      </w:pPr>
      <w:r>
        <w:lastRenderedPageBreak/>
        <w:t>Contact details</w:t>
      </w:r>
    </w:p>
    <w:p w14:paraId="5E4DA30D" w14:textId="64043BA6" w:rsidR="00B84860" w:rsidRDefault="007156EF" w:rsidP="00B84860">
      <w:pPr>
        <w:pStyle w:val="BodyText"/>
        <w:sectPr w:rsidR="00B84860" w:rsidSect="00824517">
          <w:headerReference w:type="default" r:id="rId9"/>
          <w:footerReference w:type="even" r:id="rId10"/>
          <w:footerReference w:type="default" r:id="rId11"/>
          <w:headerReference w:type="first" r:id="rId12"/>
          <w:footerReference w:type="first" r:id="rId13"/>
          <w:pgSz w:w="11901" w:h="16817"/>
          <w:pgMar w:top="2835" w:right="1134" w:bottom="1361" w:left="1021" w:header="851" w:footer="624" w:gutter="0"/>
          <w:cols w:space="720"/>
          <w:titlePg/>
          <w:docGrid w:linePitch="360"/>
        </w:sectPr>
      </w:pPr>
      <w:r>
        <w:t xml:space="preserve">Organisations or individuals with questions regarding this advice can email </w:t>
      </w:r>
      <w:hyperlink r:id="rId14" w:history="1">
        <w:r>
          <w:rPr>
            <w:rStyle w:val="Hyperlink"/>
          </w:rPr>
          <w:t>asd.assist@defence.gov.au</w:t>
        </w:r>
      </w:hyperlink>
      <w:r>
        <w:t xml:space="preserve"> or call 1300 CYBER1 (1300 292 371).</w:t>
      </w:r>
    </w:p>
    <w:p w14:paraId="63750848" w14:textId="77777777" w:rsidR="007B7A7E" w:rsidRDefault="007B7A7E" w:rsidP="007B7A7E">
      <w:pPr>
        <w:pStyle w:val="Heading1"/>
        <w:spacing w:after="0"/>
      </w:pPr>
      <w:r>
        <w:lastRenderedPageBreak/>
        <w:t xml:space="preserve">Essential Eight </w:t>
      </w:r>
      <w:r w:rsidRPr="00F37C5F">
        <w:t>Maturity</w:t>
      </w:r>
      <w:r>
        <w:t xml:space="preserve"> Model</w:t>
      </w:r>
    </w:p>
    <w:tbl>
      <w:tblPr>
        <w:tblStyle w:val="TableGrid"/>
        <w:tblW w:w="21688" w:type="dxa"/>
        <w:tblLook w:val="04A0" w:firstRow="1" w:lastRow="0" w:firstColumn="1" w:lastColumn="0" w:noHBand="0" w:noVBand="1"/>
      </w:tblPr>
      <w:tblGrid>
        <w:gridCol w:w="1560"/>
        <w:gridCol w:w="6709"/>
        <w:gridCol w:w="6709"/>
        <w:gridCol w:w="6710"/>
      </w:tblGrid>
      <w:tr w:rsidR="00A115C6" w:rsidRPr="0034477B" w14:paraId="2C5B584C" w14:textId="77777777" w:rsidTr="00CD7F13">
        <w:trPr>
          <w:cnfStyle w:val="100000000000" w:firstRow="1" w:lastRow="0" w:firstColumn="0" w:lastColumn="0" w:oddVBand="0" w:evenVBand="0" w:oddHBand="0" w:evenHBand="0" w:firstRowFirstColumn="0" w:firstRowLastColumn="0" w:lastRowFirstColumn="0" w:lastRowLastColumn="0"/>
          <w:cantSplit/>
          <w:tblHeader/>
        </w:trPr>
        <w:tc>
          <w:tcPr>
            <w:tcW w:w="1560" w:type="dxa"/>
            <w:tcBorders>
              <w:top w:val="nil"/>
            </w:tcBorders>
            <w:tcMar>
              <w:top w:w="57" w:type="dxa"/>
              <w:left w:w="57" w:type="dxa"/>
              <w:bottom w:w="57" w:type="dxa"/>
              <w:right w:w="57" w:type="dxa"/>
            </w:tcMar>
          </w:tcPr>
          <w:p w14:paraId="1BCB94D7" w14:textId="77777777" w:rsidR="00A115C6" w:rsidRPr="0034477B" w:rsidRDefault="00A115C6" w:rsidP="0034477B">
            <w:pPr>
              <w:pStyle w:val="TableText"/>
              <w:rPr>
                <w:b/>
                <w:sz w:val="16"/>
                <w:szCs w:val="16"/>
              </w:rPr>
            </w:pPr>
            <w:r w:rsidRPr="0034477B">
              <w:rPr>
                <w:b/>
                <w:sz w:val="16"/>
                <w:szCs w:val="16"/>
              </w:rPr>
              <w:t>Mitigation Strategy</w:t>
            </w:r>
          </w:p>
        </w:tc>
        <w:tc>
          <w:tcPr>
            <w:tcW w:w="6709" w:type="dxa"/>
            <w:tcBorders>
              <w:top w:val="nil"/>
            </w:tcBorders>
            <w:tcMar>
              <w:top w:w="57" w:type="dxa"/>
              <w:left w:w="57" w:type="dxa"/>
              <w:bottom w:w="57" w:type="dxa"/>
              <w:right w:w="57" w:type="dxa"/>
            </w:tcMar>
          </w:tcPr>
          <w:p w14:paraId="6C19B80C" w14:textId="77777777" w:rsidR="00A115C6" w:rsidRPr="0034477B" w:rsidRDefault="00A115C6" w:rsidP="0034477B">
            <w:pPr>
              <w:pStyle w:val="TableText"/>
              <w:rPr>
                <w:b/>
                <w:sz w:val="16"/>
                <w:szCs w:val="16"/>
              </w:rPr>
            </w:pPr>
            <w:r w:rsidRPr="0034477B">
              <w:rPr>
                <w:b/>
                <w:sz w:val="16"/>
                <w:szCs w:val="16"/>
              </w:rPr>
              <w:t>Maturity Level One</w:t>
            </w:r>
          </w:p>
        </w:tc>
        <w:tc>
          <w:tcPr>
            <w:tcW w:w="6709" w:type="dxa"/>
            <w:tcBorders>
              <w:top w:val="nil"/>
            </w:tcBorders>
            <w:tcMar>
              <w:top w:w="57" w:type="dxa"/>
              <w:left w:w="57" w:type="dxa"/>
              <w:bottom w:w="57" w:type="dxa"/>
              <w:right w:w="57" w:type="dxa"/>
            </w:tcMar>
          </w:tcPr>
          <w:p w14:paraId="31B68A30" w14:textId="77777777" w:rsidR="00A115C6" w:rsidRPr="0034477B" w:rsidRDefault="00A115C6" w:rsidP="0034477B">
            <w:pPr>
              <w:pStyle w:val="TableText"/>
              <w:rPr>
                <w:b/>
                <w:sz w:val="16"/>
                <w:szCs w:val="16"/>
              </w:rPr>
            </w:pPr>
            <w:r w:rsidRPr="0034477B">
              <w:rPr>
                <w:b/>
                <w:sz w:val="16"/>
                <w:szCs w:val="16"/>
              </w:rPr>
              <w:t>Maturity Level Two</w:t>
            </w:r>
          </w:p>
        </w:tc>
        <w:tc>
          <w:tcPr>
            <w:tcW w:w="6710" w:type="dxa"/>
            <w:tcBorders>
              <w:top w:val="nil"/>
            </w:tcBorders>
            <w:tcMar>
              <w:top w:w="57" w:type="dxa"/>
              <w:left w:w="57" w:type="dxa"/>
              <w:bottom w:w="57" w:type="dxa"/>
              <w:right w:w="57" w:type="dxa"/>
            </w:tcMar>
          </w:tcPr>
          <w:p w14:paraId="42E02795" w14:textId="77777777" w:rsidR="00A115C6" w:rsidRPr="0034477B" w:rsidRDefault="00A115C6" w:rsidP="0034477B">
            <w:pPr>
              <w:pStyle w:val="TableText"/>
              <w:rPr>
                <w:b/>
                <w:sz w:val="16"/>
                <w:szCs w:val="16"/>
              </w:rPr>
            </w:pPr>
            <w:r w:rsidRPr="0034477B">
              <w:rPr>
                <w:b/>
                <w:sz w:val="16"/>
                <w:szCs w:val="16"/>
              </w:rPr>
              <w:t>Maturity Level Three</w:t>
            </w:r>
          </w:p>
        </w:tc>
      </w:tr>
      <w:tr w:rsidR="00A115C6" w:rsidRPr="002B28AA" w14:paraId="0823BB96" w14:textId="77777777" w:rsidTr="00CD7F13">
        <w:trPr>
          <w:cantSplit/>
        </w:trPr>
        <w:tc>
          <w:tcPr>
            <w:tcW w:w="1560" w:type="dxa"/>
            <w:tcBorders>
              <w:top w:val="single" w:sz="4" w:space="0" w:color="D9D9D9" w:themeColor="background1" w:themeShade="D9"/>
            </w:tcBorders>
            <w:tcMar>
              <w:top w:w="57" w:type="dxa"/>
              <w:left w:w="57" w:type="dxa"/>
              <w:bottom w:w="57" w:type="dxa"/>
              <w:right w:w="57" w:type="dxa"/>
            </w:tcMar>
          </w:tcPr>
          <w:p w14:paraId="475714EE" w14:textId="77777777" w:rsidR="00A115C6" w:rsidRPr="0034477B" w:rsidRDefault="00A115C6" w:rsidP="0034477B">
            <w:pPr>
              <w:pStyle w:val="TableText"/>
              <w:rPr>
                <w:b/>
                <w:sz w:val="16"/>
                <w:szCs w:val="16"/>
              </w:rPr>
            </w:pPr>
            <w:r w:rsidRPr="0034477B">
              <w:rPr>
                <w:b/>
                <w:sz w:val="16"/>
                <w:szCs w:val="16"/>
              </w:rPr>
              <w:t>Application whitelisting</w:t>
            </w:r>
          </w:p>
        </w:tc>
        <w:tc>
          <w:tcPr>
            <w:tcW w:w="6709" w:type="dxa"/>
            <w:tcBorders>
              <w:top w:val="single" w:sz="4" w:space="0" w:color="D9D9D9" w:themeColor="background1" w:themeShade="D9"/>
            </w:tcBorders>
            <w:tcMar>
              <w:top w:w="57" w:type="dxa"/>
              <w:left w:w="57" w:type="dxa"/>
              <w:bottom w:w="57" w:type="dxa"/>
              <w:right w:w="57" w:type="dxa"/>
            </w:tcMar>
          </w:tcPr>
          <w:p w14:paraId="2C1093B2" w14:textId="7A4B5FAA" w:rsidR="00B61DB2" w:rsidRPr="0034477B" w:rsidRDefault="00B61DB2" w:rsidP="0034477B">
            <w:pPr>
              <w:pStyle w:val="TableText"/>
              <w:rPr>
                <w:sz w:val="16"/>
                <w:szCs w:val="16"/>
              </w:rPr>
            </w:pPr>
            <w:r w:rsidRPr="0034477B">
              <w:rPr>
                <w:sz w:val="16"/>
                <w:szCs w:val="16"/>
              </w:rPr>
              <w:t>An application whitelisting solution is implemented on all workstations to restrict the execution of executables to an approved set.</w:t>
            </w:r>
          </w:p>
          <w:p w14:paraId="6830E69E" w14:textId="6CCB2FB3" w:rsidR="00041EA7" w:rsidRPr="0034477B" w:rsidRDefault="00041EA7" w:rsidP="0034477B">
            <w:pPr>
              <w:pStyle w:val="TableText"/>
              <w:rPr>
                <w:sz w:val="16"/>
                <w:szCs w:val="16"/>
              </w:rPr>
            </w:pPr>
            <w:r w:rsidRPr="0034477B">
              <w:rPr>
                <w:sz w:val="16"/>
                <w:szCs w:val="16"/>
              </w:rPr>
              <w:t xml:space="preserve">An application whitelisting solution is implemented on </w:t>
            </w:r>
            <w:r w:rsidR="00242B05" w:rsidRPr="0034477B">
              <w:rPr>
                <w:sz w:val="16"/>
                <w:szCs w:val="16"/>
              </w:rPr>
              <w:t>all</w:t>
            </w:r>
            <w:r w:rsidRPr="0034477B">
              <w:rPr>
                <w:sz w:val="16"/>
                <w:szCs w:val="16"/>
              </w:rPr>
              <w:t xml:space="preserve"> servers to restrict the execution of executables to an approved set.</w:t>
            </w:r>
          </w:p>
        </w:tc>
        <w:tc>
          <w:tcPr>
            <w:tcW w:w="6709" w:type="dxa"/>
            <w:tcBorders>
              <w:top w:val="single" w:sz="4" w:space="0" w:color="D9D9D9" w:themeColor="background1" w:themeShade="D9"/>
            </w:tcBorders>
            <w:tcMar>
              <w:top w:w="57" w:type="dxa"/>
              <w:left w:w="57" w:type="dxa"/>
              <w:bottom w:w="57" w:type="dxa"/>
              <w:right w:w="57" w:type="dxa"/>
            </w:tcMar>
          </w:tcPr>
          <w:p w14:paraId="1C954802" w14:textId="49F1D1C6" w:rsidR="00B61DB2" w:rsidRPr="0034477B" w:rsidRDefault="00B61DB2" w:rsidP="0034477B">
            <w:pPr>
              <w:pStyle w:val="TableText"/>
              <w:rPr>
                <w:sz w:val="16"/>
                <w:szCs w:val="16"/>
              </w:rPr>
            </w:pPr>
            <w:r w:rsidRPr="0034477B">
              <w:rPr>
                <w:sz w:val="16"/>
                <w:szCs w:val="16"/>
              </w:rPr>
              <w:t>An application whitelisting solution is implemented on all workstations to restrict the execution of executables</w:t>
            </w:r>
            <w:r w:rsidR="00242B05" w:rsidRPr="0034477B">
              <w:rPr>
                <w:sz w:val="16"/>
                <w:szCs w:val="16"/>
              </w:rPr>
              <w:t>,</w:t>
            </w:r>
            <w:r w:rsidRPr="0034477B">
              <w:rPr>
                <w:sz w:val="16"/>
                <w:szCs w:val="16"/>
              </w:rPr>
              <w:t xml:space="preserve"> software libraries</w:t>
            </w:r>
            <w:r w:rsidR="00242B05" w:rsidRPr="0034477B">
              <w:rPr>
                <w:sz w:val="16"/>
                <w:szCs w:val="16"/>
              </w:rPr>
              <w:t>, scripts and installers</w:t>
            </w:r>
            <w:r w:rsidRPr="0034477B">
              <w:rPr>
                <w:sz w:val="16"/>
                <w:szCs w:val="16"/>
              </w:rPr>
              <w:t xml:space="preserve"> to an approved set.</w:t>
            </w:r>
          </w:p>
          <w:p w14:paraId="683DF84F" w14:textId="5541030B" w:rsidR="00041EA7" w:rsidRPr="0034477B" w:rsidRDefault="00041EA7" w:rsidP="0034477B">
            <w:pPr>
              <w:pStyle w:val="TableText"/>
              <w:rPr>
                <w:sz w:val="16"/>
                <w:szCs w:val="16"/>
              </w:rPr>
            </w:pPr>
            <w:r w:rsidRPr="0034477B">
              <w:rPr>
                <w:sz w:val="16"/>
                <w:szCs w:val="16"/>
              </w:rPr>
              <w:t xml:space="preserve">An application whitelisting solution is implemented on </w:t>
            </w:r>
            <w:r w:rsidR="00242B05" w:rsidRPr="0034477B">
              <w:rPr>
                <w:sz w:val="16"/>
                <w:szCs w:val="16"/>
              </w:rPr>
              <w:t>all</w:t>
            </w:r>
            <w:r w:rsidRPr="0034477B">
              <w:rPr>
                <w:sz w:val="16"/>
                <w:szCs w:val="16"/>
              </w:rPr>
              <w:t xml:space="preserve"> servers to restrict the execution of executables</w:t>
            </w:r>
            <w:r w:rsidR="000F0DD8" w:rsidRPr="0034477B">
              <w:rPr>
                <w:sz w:val="16"/>
                <w:szCs w:val="16"/>
              </w:rPr>
              <w:t>,</w:t>
            </w:r>
            <w:r w:rsidRPr="0034477B">
              <w:rPr>
                <w:sz w:val="16"/>
                <w:szCs w:val="16"/>
              </w:rPr>
              <w:t xml:space="preserve"> software libraries</w:t>
            </w:r>
            <w:r w:rsidR="000F0DD8" w:rsidRPr="0034477B">
              <w:rPr>
                <w:sz w:val="16"/>
                <w:szCs w:val="16"/>
              </w:rPr>
              <w:t>, scripts and installers</w:t>
            </w:r>
            <w:r w:rsidRPr="0034477B">
              <w:rPr>
                <w:sz w:val="16"/>
                <w:szCs w:val="16"/>
              </w:rPr>
              <w:t xml:space="preserve"> to an approved set.</w:t>
            </w:r>
          </w:p>
        </w:tc>
        <w:tc>
          <w:tcPr>
            <w:tcW w:w="6710" w:type="dxa"/>
            <w:tcBorders>
              <w:top w:val="single" w:sz="4" w:space="0" w:color="D9D9D9" w:themeColor="background1" w:themeShade="D9"/>
            </w:tcBorders>
            <w:tcMar>
              <w:top w:w="57" w:type="dxa"/>
              <w:left w:w="57" w:type="dxa"/>
              <w:bottom w:w="57" w:type="dxa"/>
              <w:right w:w="57" w:type="dxa"/>
            </w:tcMar>
          </w:tcPr>
          <w:p w14:paraId="3044A292" w14:textId="77777777" w:rsidR="00B61DB2" w:rsidRPr="0034477B" w:rsidRDefault="00B61DB2" w:rsidP="0034477B">
            <w:pPr>
              <w:pStyle w:val="TableText"/>
              <w:rPr>
                <w:sz w:val="16"/>
                <w:szCs w:val="16"/>
              </w:rPr>
            </w:pPr>
            <w:r w:rsidRPr="0034477B">
              <w:rPr>
                <w:sz w:val="16"/>
                <w:szCs w:val="16"/>
              </w:rPr>
              <w:t>An application whitelisting solution is implemented on all workstations to restrict the execution of executables, software libraries, scripts and installers to an approved set.</w:t>
            </w:r>
          </w:p>
          <w:p w14:paraId="1F17F6B6" w14:textId="3465F689" w:rsidR="00041EA7" w:rsidRPr="0034477B" w:rsidRDefault="00041EA7" w:rsidP="0034477B">
            <w:pPr>
              <w:pStyle w:val="TableText"/>
              <w:rPr>
                <w:sz w:val="16"/>
                <w:szCs w:val="16"/>
              </w:rPr>
            </w:pPr>
            <w:r w:rsidRPr="0034477B">
              <w:rPr>
                <w:sz w:val="16"/>
                <w:szCs w:val="16"/>
              </w:rPr>
              <w:t xml:space="preserve">An application whitelisting solution is implemented on </w:t>
            </w:r>
            <w:r w:rsidR="00242B05" w:rsidRPr="0034477B">
              <w:rPr>
                <w:sz w:val="16"/>
                <w:szCs w:val="16"/>
              </w:rPr>
              <w:t xml:space="preserve">all </w:t>
            </w:r>
            <w:r w:rsidRPr="0034477B">
              <w:rPr>
                <w:sz w:val="16"/>
                <w:szCs w:val="16"/>
              </w:rPr>
              <w:t>servers to restrict the execution of executables, software libraries, scripts and installers to an approved set.</w:t>
            </w:r>
          </w:p>
          <w:p w14:paraId="41A23DA5" w14:textId="5FD50FA7" w:rsidR="00242B05" w:rsidRPr="0034477B" w:rsidRDefault="00C748D2" w:rsidP="0034477B">
            <w:pPr>
              <w:pStyle w:val="TableText"/>
              <w:rPr>
                <w:sz w:val="16"/>
                <w:szCs w:val="16"/>
              </w:rPr>
            </w:pPr>
            <w:r w:rsidRPr="0034477B">
              <w:rPr>
                <w:sz w:val="16"/>
                <w:szCs w:val="16"/>
              </w:rPr>
              <w:t>Microsoft’s</w:t>
            </w:r>
            <w:r w:rsidR="00740DEB" w:rsidRPr="0034477B">
              <w:rPr>
                <w:sz w:val="16"/>
                <w:szCs w:val="16"/>
              </w:rPr>
              <w:t xml:space="preserve"> latest</w:t>
            </w:r>
            <w:r w:rsidRPr="0034477B">
              <w:rPr>
                <w:sz w:val="16"/>
                <w:szCs w:val="16"/>
              </w:rPr>
              <w:t xml:space="preserve"> recommended block rules are implemented</w:t>
            </w:r>
            <w:r w:rsidR="0058188D" w:rsidRPr="0034477B">
              <w:rPr>
                <w:sz w:val="16"/>
                <w:szCs w:val="16"/>
              </w:rPr>
              <w:t xml:space="preserve"> to prevent application whitelisting bypasses</w:t>
            </w:r>
            <w:r w:rsidR="00006847" w:rsidRPr="0034477B">
              <w:rPr>
                <w:sz w:val="16"/>
                <w:szCs w:val="16"/>
              </w:rPr>
              <w:t>.</w:t>
            </w:r>
            <w:r w:rsidRPr="0034477B">
              <w:rPr>
                <w:sz w:val="16"/>
                <w:szCs w:val="16"/>
              </w:rPr>
              <w:t xml:space="preserve"> </w:t>
            </w:r>
          </w:p>
        </w:tc>
      </w:tr>
      <w:tr w:rsidR="00A115C6" w:rsidRPr="002B28AA" w14:paraId="1B529195" w14:textId="77777777" w:rsidTr="00CD7F13">
        <w:trPr>
          <w:cantSplit/>
        </w:trPr>
        <w:tc>
          <w:tcPr>
            <w:tcW w:w="1560" w:type="dxa"/>
            <w:tcMar>
              <w:top w:w="57" w:type="dxa"/>
              <w:left w:w="57" w:type="dxa"/>
              <w:bottom w:w="57" w:type="dxa"/>
              <w:right w:w="57" w:type="dxa"/>
            </w:tcMar>
          </w:tcPr>
          <w:p w14:paraId="631C1B21" w14:textId="77777777" w:rsidR="00A115C6" w:rsidRPr="0034477B" w:rsidRDefault="00A115C6" w:rsidP="0034477B">
            <w:pPr>
              <w:pStyle w:val="TableText"/>
              <w:rPr>
                <w:b/>
                <w:sz w:val="16"/>
                <w:szCs w:val="16"/>
              </w:rPr>
            </w:pPr>
            <w:r w:rsidRPr="0034477B">
              <w:rPr>
                <w:b/>
                <w:sz w:val="16"/>
                <w:szCs w:val="16"/>
              </w:rPr>
              <w:t>Patch applications</w:t>
            </w:r>
          </w:p>
        </w:tc>
        <w:tc>
          <w:tcPr>
            <w:tcW w:w="6709" w:type="dxa"/>
            <w:tcMar>
              <w:top w:w="57" w:type="dxa"/>
              <w:left w:w="57" w:type="dxa"/>
              <w:bottom w:w="57" w:type="dxa"/>
              <w:right w:w="57" w:type="dxa"/>
            </w:tcMar>
          </w:tcPr>
          <w:p w14:paraId="76D714EF" w14:textId="0E9BC561" w:rsidR="00B61DB2" w:rsidRPr="0034477B" w:rsidRDefault="00B61DB2" w:rsidP="0034477B">
            <w:pPr>
              <w:pStyle w:val="TableText"/>
              <w:rPr>
                <w:sz w:val="16"/>
                <w:szCs w:val="16"/>
              </w:rPr>
            </w:pPr>
            <w:r w:rsidRPr="0034477B">
              <w:rPr>
                <w:sz w:val="16"/>
                <w:szCs w:val="16"/>
              </w:rPr>
              <w:t>Security vulnerabilities in applications and drivers assessed as extreme risk are patched, updated or mitigated within one month of the security vulnerabilities being identified by vendors, independent third parties, system managers or users.</w:t>
            </w:r>
          </w:p>
          <w:p w14:paraId="4DDEE4FE" w14:textId="67D69FCF" w:rsidR="00A115C6" w:rsidRPr="0034477B" w:rsidRDefault="00B61DB2" w:rsidP="0034477B">
            <w:pPr>
              <w:pStyle w:val="TableText"/>
              <w:rPr>
                <w:sz w:val="16"/>
                <w:szCs w:val="16"/>
              </w:rPr>
            </w:pPr>
            <w:r w:rsidRPr="0034477B">
              <w:rPr>
                <w:sz w:val="16"/>
                <w:szCs w:val="16"/>
              </w:rPr>
              <w:t>Applications that are no longer supported by vendors with patches or updates for security vulnerabilities are updated or replaced with vendor-supported versions.</w:t>
            </w:r>
          </w:p>
        </w:tc>
        <w:tc>
          <w:tcPr>
            <w:tcW w:w="6709" w:type="dxa"/>
            <w:tcMar>
              <w:top w:w="57" w:type="dxa"/>
              <w:left w:w="57" w:type="dxa"/>
              <w:bottom w:w="57" w:type="dxa"/>
              <w:right w:w="57" w:type="dxa"/>
            </w:tcMar>
          </w:tcPr>
          <w:p w14:paraId="6CADEEE1" w14:textId="46907600" w:rsidR="00B61DB2" w:rsidRPr="0034477B" w:rsidRDefault="00B61DB2" w:rsidP="0034477B">
            <w:pPr>
              <w:pStyle w:val="TableText"/>
              <w:rPr>
                <w:sz w:val="16"/>
                <w:szCs w:val="16"/>
              </w:rPr>
            </w:pPr>
            <w:r w:rsidRPr="0034477B">
              <w:rPr>
                <w:sz w:val="16"/>
                <w:szCs w:val="16"/>
              </w:rPr>
              <w:t xml:space="preserve">Security vulnerabilities in applications and drivers assessed as extreme risk are patched, updated or </w:t>
            </w:r>
            <w:r w:rsidRPr="0034477B">
              <w:rPr>
                <w:color w:val="000000" w:themeColor="text1"/>
                <w:sz w:val="16"/>
                <w:szCs w:val="16"/>
              </w:rPr>
              <w:t xml:space="preserve">mitigated within two weeks of the security </w:t>
            </w:r>
            <w:r w:rsidRPr="0034477B">
              <w:rPr>
                <w:sz w:val="16"/>
                <w:szCs w:val="16"/>
              </w:rPr>
              <w:t>vulnerabilities being identified by vendors, independent third parties, system managers or users.</w:t>
            </w:r>
          </w:p>
          <w:p w14:paraId="5B9559B4" w14:textId="071E23AE" w:rsidR="00A115C6" w:rsidRPr="0034477B" w:rsidRDefault="00B61DB2" w:rsidP="0034477B">
            <w:pPr>
              <w:pStyle w:val="TableText"/>
              <w:rPr>
                <w:sz w:val="16"/>
                <w:szCs w:val="16"/>
              </w:rPr>
            </w:pPr>
            <w:r w:rsidRPr="0034477B">
              <w:rPr>
                <w:sz w:val="16"/>
                <w:szCs w:val="16"/>
              </w:rPr>
              <w:t>Applications that are no longer supported by vendors with patches or updates for security vulnerabilities are updated or replaced with vendor-supported versions.</w:t>
            </w:r>
          </w:p>
        </w:tc>
        <w:tc>
          <w:tcPr>
            <w:tcW w:w="6710" w:type="dxa"/>
            <w:tcMar>
              <w:top w:w="57" w:type="dxa"/>
              <w:left w:w="57" w:type="dxa"/>
              <w:bottom w:w="57" w:type="dxa"/>
              <w:right w:w="57" w:type="dxa"/>
            </w:tcMar>
          </w:tcPr>
          <w:p w14:paraId="7BE47B0D" w14:textId="75A40EC5" w:rsidR="00B61DB2" w:rsidRPr="0034477B" w:rsidRDefault="00B61DB2" w:rsidP="0034477B">
            <w:pPr>
              <w:pStyle w:val="TableText"/>
              <w:rPr>
                <w:sz w:val="16"/>
                <w:szCs w:val="16"/>
              </w:rPr>
            </w:pPr>
            <w:r w:rsidRPr="0034477B">
              <w:rPr>
                <w:sz w:val="16"/>
                <w:szCs w:val="16"/>
              </w:rPr>
              <w:t>Security vulnerabilities in applications and drivers assessed as extreme risk are patched, updated or mitigated within 48 hours of the security vulnerabilities being identified by vendors, independent third parties, system managers or users.</w:t>
            </w:r>
          </w:p>
          <w:p w14:paraId="31D784C4" w14:textId="275F9EA0" w:rsidR="00B61DB2" w:rsidRPr="0034477B" w:rsidRDefault="00B61DB2" w:rsidP="0034477B">
            <w:pPr>
              <w:pStyle w:val="TableText"/>
              <w:rPr>
                <w:sz w:val="16"/>
                <w:szCs w:val="16"/>
              </w:rPr>
            </w:pPr>
            <w:r w:rsidRPr="0034477B">
              <w:rPr>
                <w:sz w:val="16"/>
                <w:szCs w:val="16"/>
              </w:rPr>
              <w:t>An automated mechanism is used to confirm and record that deployed application and driver patches or updates have been installed, applied successfully and remain in place.</w:t>
            </w:r>
          </w:p>
          <w:p w14:paraId="758C1D72" w14:textId="6C8126A1" w:rsidR="00B61DB2" w:rsidRPr="0034477B" w:rsidRDefault="00B61DB2" w:rsidP="0034477B">
            <w:pPr>
              <w:pStyle w:val="TableText"/>
              <w:rPr>
                <w:sz w:val="16"/>
                <w:szCs w:val="16"/>
              </w:rPr>
            </w:pPr>
            <w:r w:rsidRPr="0034477B">
              <w:rPr>
                <w:sz w:val="16"/>
                <w:szCs w:val="16"/>
              </w:rPr>
              <w:t>Applications that are no longer supported by vendors with patches or updates for security vulnerabilities are updated or replaced with vendor-supported versions.</w:t>
            </w:r>
          </w:p>
        </w:tc>
      </w:tr>
      <w:tr w:rsidR="00A115C6" w:rsidRPr="002B28AA" w14:paraId="03BCD243" w14:textId="77777777" w:rsidTr="00CD7F13">
        <w:trPr>
          <w:cantSplit/>
        </w:trPr>
        <w:tc>
          <w:tcPr>
            <w:tcW w:w="1560" w:type="dxa"/>
            <w:tcMar>
              <w:top w:w="57" w:type="dxa"/>
              <w:left w:w="57" w:type="dxa"/>
              <w:bottom w:w="57" w:type="dxa"/>
              <w:right w:w="57" w:type="dxa"/>
            </w:tcMar>
          </w:tcPr>
          <w:p w14:paraId="41E582E7" w14:textId="77777777" w:rsidR="00A115C6" w:rsidRPr="0034477B" w:rsidRDefault="00A115C6" w:rsidP="0034477B">
            <w:pPr>
              <w:pStyle w:val="TableText"/>
              <w:rPr>
                <w:b/>
                <w:sz w:val="16"/>
                <w:szCs w:val="16"/>
              </w:rPr>
            </w:pPr>
            <w:r w:rsidRPr="0034477B">
              <w:rPr>
                <w:b/>
                <w:sz w:val="16"/>
                <w:szCs w:val="16"/>
              </w:rPr>
              <w:t>Configure Microsoft Office macro settings</w:t>
            </w:r>
          </w:p>
        </w:tc>
        <w:tc>
          <w:tcPr>
            <w:tcW w:w="6709" w:type="dxa"/>
            <w:tcMar>
              <w:top w:w="57" w:type="dxa"/>
              <w:left w:w="57" w:type="dxa"/>
              <w:bottom w:w="57" w:type="dxa"/>
              <w:right w:w="57" w:type="dxa"/>
            </w:tcMar>
          </w:tcPr>
          <w:p w14:paraId="1CDBA10D" w14:textId="7B4BC2C4" w:rsidR="00A115C6" w:rsidRPr="0034477B" w:rsidRDefault="00A115C6" w:rsidP="0034477B">
            <w:pPr>
              <w:pStyle w:val="TableText"/>
              <w:rPr>
                <w:sz w:val="16"/>
                <w:szCs w:val="16"/>
              </w:rPr>
            </w:pPr>
            <w:r w:rsidRPr="0034477B">
              <w:rPr>
                <w:sz w:val="16"/>
                <w:szCs w:val="16"/>
              </w:rPr>
              <w:t xml:space="preserve">Microsoft Office macros </w:t>
            </w:r>
            <w:r w:rsidR="00676F06" w:rsidRPr="0034477B">
              <w:rPr>
                <w:sz w:val="16"/>
                <w:szCs w:val="16"/>
              </w:rPr>
              <w:t>are allowed to</w:t>
            </w:r>
            <w:r w:rsidRPr="0034477B">
              <w:rPr>
                <w:sz w:val="16"/>
                <w:szCs w:val="16"/>
              </w:rPr>
              <w:t xml:space="preserve"> execute, but only after prompting users for approval</w:t>
            </w:r>
            <w:r w:rsidR="00676F06" w:rsidRPr="0034477B">
              <w:rPr>
                <w:sz w:val="16"/>
                <w:szCs w:val="16"/>
              </w:rPr>
              <w:t>.</w:t>
            </w:r>
          </w:p>
          <w:p w14:paraId="30BE2DFD" w14:textId="181FE6EF" w:rsidR="00A115C6" w:rsidRPr="0034477B" w:rsidRDefault="00676F06" w:rsidP="0034477B">
            <w:pPr>
              <w:pStyle w:val="TableText"/>
              <w:rPr>
                <w:sz w:val="16"/>
                <w:szCs w:val="16"/>
              </w:rPr>
            </w:pPr>
            <w:r w:rsidRPr="0034477B">
              <w:rPr>
                <w:sz w:val="16"/>
                <w:szCs w:val="16"/>
              </w:rPr>
              <w:t>Microsoft Office macro security settings cannot be changed by users.</w:t>
            </w:r>
          </w:p>
        </w:tc>
        <w:tc>
          <w:tcPr>
            <w:tcW w:w="6709" w:type="dxa"/>
            <w:tcMar>
              <w:top w:w="57" w:type="dxa"/>
              <w:left w:w="57" w:type="dxa"/>
              <w:bottom w:w="57" w:type="dxa"/>
              <w:right w:w="57" w:type="dxa"/>
            </w:tcMar>
          </w:tcPr>
          <w:p w14:paraId="0AF71A94" w14:textId="1261A39B" w:rsidR="00A115C6" w:rsidRPr="0034477B" w:rsidRDefault="00A115C6" w:rsidP="0034477B">
            <w:pPr>
              <w:pStyle w:val="TableText"/>
              <w:rPr>
                <w:sz w:val="16"/>
                <w:szCs w:val="16"/>
              </w:rPr>
            </w:pPr>
            <w:r w:rsidRPr="0034477B">
              <w:rPr>
                <w:sz w:val="16"/>
                <w:szCs w:val="16"/>
              </w:rPr>
              <w:t xml:space="preserve">Only signed Microsoft Office macros </w:t>
            </w:r>
            <w:r w:rsidR="00676F06" w:rsidRPr="0034477B">
              <w:rPr>
                <w:sz w:val="16"/>
                <w:szCs w:val="16"/>
              </w:rPr>
              <w:t>are allowed to execute.</w:t>
            </w:r>
          </w:p>
          <w:p w14:paraId="36FFB0AF" w14:textId="77777777" w:rsidR="00676F06" w:rsidRPr="0034477B" w:rsidRDefault="00676F06" w:rsidP="0034477B">
            <w:pPr>
              <w:pStyle w:val="TableText"/>
              <w:rPr>
                <w:sz w:val="16"/>
                <w:szCs w:val="16"/>
              </w:rPr>
            </w:pPr>
            <w:r w:rsidRPr="0034477B">
              <w:rPr>
                <w:sz w:val="16"/>
                <w:szCs w:val="16"/>
              </w:rPr>
              <w:t>Microsoft Office macros in documents originating from the Internet are blocked.</w:t>
            </w:r>
          </w:p>
          <w:p w14:paraId="1759E0CC" w14:textId="3E6630D1" w:rsidR="00A115C6" w:rsidRPr="0034477B" w:rsidRDefault="00676F06" w:rsidP="0034477B">
            <w:pPr>
              <w:pStyle w:val="TableText"/>
              <w:rPr>
                <w:sz w:val="16"/>
                <w:szCs w:val="16"/>
              </w:rPr>
            </w:pPr>
            <w:r w:rsidRPr="0034477B">
              <w:rPr>
                <w:sz w:val="16"/>
                <w:szCs w:val="16"/>
              </w:rPr>
              <w:t>Microsoft Office macro security settings cannot be changed by users.</w:t>
            </w:r>
          </w:p>
        </w:tc>
        <w:tc>
          <w:tcPr>
            <w:tcW w:w="6710" w:type="dxa"/>
            <w:tcMar>
              <w:top w:w="57" w:type="dxa"/>
              <w:left w:w="57" w:type="dxa"/>
              <w:bottom w:w="57" w:type="dxa"/>
              <w:right w:w="57" w:type="dxa"/>
            </w:tcMar>
          </w:tcPr>
          <w:p w14:paraId="0342E2BF" w14:textId="0A9C7EE9" w:rsidR="00676F06" w:rsidRPr="0034477B" w:rsidRDefault="00676F06" w:rsidP="0034477B">
            <w:pPr>
              <w:pStyle w:val="TableText"/>
              <w:rPr>
                <w:sz w:val="16"/>
                <w:szCs w:val="16"/>
              </w:rPr>
            </w:pPr>
            <w:r w:rsidRPr="0034477B">
              <w:rPr>
                <w:sz w:val="16"/>
                <w:szCs w:val="16"/>
              </w:rPr>
              <w:t>Microsoft Office macros are only allowed to execute in documents from Trusted Locations where write access is limited to personnel whose role is to vet and approve macros.</w:t>
            </w:r>
          </w:p>
          <w:p w14:paraId="2C4C6E58" w14:textId="5C2D98C2" w:rsidR="00676F06" w:rsidRPr="0034477B" w:rsidRDefault="00676F06" w:rsidP="0034477B">
            <w:pPr>
              <w:pStyle w:val="TableText"/>
              <w:rPr>
                <w:sz w:val="16"/>
                <w:szCs w:val="16"/>
              </w:rPr>
            </w:pPr>
            <w:r w:rsidRPr="0034477B">
              <w:rPr>
                <w:sz w:val="16"/>
                <w:szCs w:val="16"/>
              </w:rPr>
              <w:t>Microsoft Office macros in documents originating from the Internet are blocked.</w:t>
            </w:r>
          </w:p>
          <w:p w14:paraId="1428FE9F" w14:textId="119A6884" w:rsidR="00041EA7" w:rsidRPr="0034477B" w:rsidRDefault="00676F06" w:rsidP="0034477B">
            <w:pPr>
              <w:pStyle w:val="TableText"/>
              <w:rPr>
                <w:sz w:val="16"/>
                <w:szCs w:val="16"/>
              </w:rPr>
            </w:pPr>
            <w:r w:rsidRPr="0034477B">
              <w:rPr>
                <w:sz w:val="16"/>
                <w:szCs w:val="16"/>
              </w:rPr>
              <w:t>Microsoft Office macro security settings cannot be changed by users.</w:t>
            </w:r>
          </w:p>
        </w:tc>
      </w:tr>
      <w:tr w:rsidR="00A115C6" w:rsidRPr="002B28AA" w14:paraId="021A8AFD" w14:textId="77777777" w:rsidTr="00CD7F13">
        <w:trPr>
          <w:cantSplit/>
        </w:trPr>
        <w:tc>
          <w:tcPr>
            <w:tcW w:w="1560" w:type="dxa"/>
            <w:tcBorders>
              <w:bottom w:val="single" w:sz="4" w:space="0" w:color="D9D9D9" w:themeColor="background1" w:themeShade="D9"/>
            </w:tcBorders>
            <w:tcMar>
              <w:top w:w="57" w:type="dxa"/>
              <w:left w:w="57" w:type="dxa"/>
              <w:bottom w:w="57" w:type="dxa"/>
              <w:right w:w="57" w:type="dxa"/>
            </w:tcMar>
          </w:tcPr>
          <w:p w14:paraId="7DDB062A" w14:textId="77777777" w:rsidR="00A115C6" w:rsidRPr="0034477B" w:rsidRDefault="00A115C6" w:rsidP="0034477B">
            <w:pPr>
              <w:pStyle w:val="TableText"/>
              <w:rPr>
                <w:b/>
                <w:sz w:val="16"/>
                <w:szCs w:val="16"/>
              </w:rPr>
            </w:pPr>
            <w:r w:rsidRPr="0034477B">
              <w:rPr>
                <w:b/>
                <w:sz w:val="16"/>
                <w:szCs w:val="16"/>
              </w:rPr>
              <w:t>User application hardening</w:t>
            </w:r>
          </w:p>
        </w:tc>
        <w:tc>
          <w:tcPr>
            <w:tcW w:w="6709" w:type="dxa"/>
            <w:tcBorders>
              <w:bottom w:val="single" w:sz="4" w:space="0" w:color="D9D9D9" w:themeColor="background1" w:themeShade="D9"/>
            </w:tcBorders>
            <w:tcMar>
              <w:top w:w="57" w:type="dxa"/>
              <w:left w:w="57" w:type="dxa"/>
              <w:bottom w:w="57" w:type="dxa"/>
              <w:right w:w="57" w:type="dxa"/>
            </w:tcMar>
          </w:tcPr>
          <w:p w14:paraId="4B74E360" w14:textId="3D01764B" w:rsidR="00A115C6" w:rsidRPr="0034477B" w:rsidRDefault="00676F06" w:rsidP="0034477B">
            <w:pPr>
              <w:pStyle w:val="TableText"/>
              <w:rPr>
                <w:sz w:val="16"/>
                <w:szCs w:val="16"/>
              </w:rPr>
            </w:pPr>
            <w:r w:rsidRPr="0034477B">
              <w:rPr>
                <w:sz w:val="16"/>
                <w:szCs w:val="16"/>
              </w:rPr>
              <w:t>Web browsers are configured to block or disable support for Flash content.</w:t>
            </w:r>
          </w:p>
        </w:tc>
        <w:tc>
          <w:tcPr>
            <w:tcW w:w="6709" w:type="dxa"/>
            <w:tcBorders>
              <w:bottom w:val="single" w:sz="4" w:space="0" w:color="D9D9D9" w:themeColor="background1" w:themeShade="D9"/>
            </w:tcBorders>
            <w:tcMar>
              <w:top w:w="57" w:type="dxa"/>
              <w:left w:w="57" w:type="dxa"/>
              <w:bottom w:w="57" w:type="dxa"/>
              <w:right w:w="57" w:type="dxa"/>
            </w:tcMar>
          </w:tcPr>
          <w:p w14:paraId="5289D805" w14:textId="77777777" w:rsidR="00676F06" w:rsidRPr="0034477B" w:rsidRDefault="00676F06" w:rsidP="0034477B">
            <w:pPr>
              <w:pStyle w:val="TableText"/>
              <w:rPr>
                <w:sz w:val="16"/>
                <w:szCs w:val="16"/>
              </w:rPr>
            </w:pPr>
            <w:r w:rsidRPr="0034477B">
              <w:rPr>
                <w:sz w:val="16"/>
                <w:szCs w:val="16"/>
              </w:rPr>
              <w:t>Web browsers are configured to block or disable support for Flash content.</w:t>
            </w:r>
          </w:p>
          <w:p w14:paraId="0D311CC0" w14:textId="77777777" w:rsidR="00676F06" w:rsidRPr="0034477B" w:rsidRDefault="00676F06" w:rsidP="0034477B">
            <w:pPr>
              <w:pStyle w:val="TableText"/>
              <w:rPr>
                <w:sz w:val="16"/>
                <w:szCs w:val="16"/>
              </w:rPr>
            </w:pPr>
            <w:r w:rsidRPr="0034477B">
              <w:rPr>
                <w:sz w:val="16"/>
                <w:szCs w:val="16"/>
              </w:rPr>
              <w:t>Web browsers are configured to block web advertisements.</w:t>
            </w:r>
          </w:p>
          <w:p w14:paraId="6323ED8D" w14:textId="200F5BB1" w:rsidR="00A115C6" w:rsidRPr="0034477B" w:rsidRDefault="00676F06" w:rsidP="0034477B">
            <w:pPr>
              <w:pStyle w:val="TableText"/>
              <w:rPr>
                <w:sz w:val="16"/>
                <w:szCs w:val="16"/>
              </w:rPr>
            </w:pPr>
            <w:r w:rsidRPr="0034477B">
              <w:rPr>
                <w:sz w:val="16"/>
                <w:szCs w:val="16"/>
              </w:rPr>
              <w:t>Web browsers are configured to block Java from the Internet.</w:t>
            </w:r>
          </w:p>
        </w:tc>
        <w:tc>
          <w:tcPr>
            <w:tcW w:w="6710" w:type="dxa"/>
            <w:tcBorders>
              <w:bottom w:val="single" w:sz="4" w:space="0" w:color="D9D9D9" w:themeColor="background1" w:themeShade="D9"/>
            </w:tcBorders>
            <w:tcMar>
              <w:top w:w="57" w:type="dxa"/>
              <w:left w:w="57" w:type="dxa"/>
              <w:bottom w:w="57" w:type="dxa"/>
              <w:right w:w="57" w:type="dxa"/>
            </w:tcMar>
          </w:tcPr>
          <w:p w14:paraId="14388804" w14:textId="77777777" w:rsidR="00676F06" w:rsidRPr="0034477B" w:rsidRDefault="00676F06" w:rsidP="0034477B">
            <w:pPr>
              <w:pStyle w:val="TableText"/>
              <w:rPr>
                <w:sz w:val="16"/>
                <w:szCs w:val="16"/>
              </w:rPr>
            </w:pPr>
            <w:r w:rsidRPr="0034477B">
              <w:rPr>
                <w:sz w:val="16"/>
                <w:szCs w:val="16"/>
              </w:rPr>
              <w:t>Web browsers are configured to block or disable support for Flash content.</w:t>
            </w:r>
          </w:p>
          <w:p w14:paraId="7DE3F6F2" w14:textId="77777777" w:rsidR="00676F06" w:rsidRPr="0034477B" w:rsidRDefault="00676F06" w:rsidP="0034477B">
            <w:pPr>
              <w:pStyle w:val="TableText"/>
              <w:rPr>
                <w:sz w:val="16"/>
                <w:szCs w:val="16"/>
              </w:rPr>
            </w:pPr>
            <w:r w:rsidRPr="0034477B">
              <w:rPr>
                <w:sz w:val="16"/>
                <w:szCs w:val="16"/>
              </w:rPr>
              <w:t>Web browsers are configured to block web advertisements.</w:t>
            </w:r>
          </w:p>
          <w:p w14:paraId="7CBCF2A4" w14:textId="77777777" w:rsidR="00676F06" w:rsidRPr="0034477B" w:rsidRDefault="00676F06" w:rsidP="0034477B">
            <w:pPr>
              <w:pStyle w:val="TableText"/>
              <w:rPr>
                <w:sz w:val="16"/>
                <w:szCs w:val="16"/>
              </w:rPr>
            </w:pPr>
            <w:r w:rsidRPr="0034477B">
              <w:rPr>
                <w:sz w:val="16"/>
                <w:szCs w:val="16"/>
              </w:rPr>
              <w:t>Web browsers are configured to block Java from the Internet.</w:t>
            </w:r>
          </w:p>
          <w:p w14:paraId="0950CBDA" w14:textId="77777777" w:rsidR="00676F06" w:rsidRPr="0034477B" w:rsidRDefault="00676F06" w:rsidP="0034477B">
            <w:pPr>
              <w:pStyle w:val="TableText"/>
              <w:rPr>
                <w:sz w:val="16"/>
                <w:szCs w:val="16"/>
              </w:rPr>
            </w:pPr>
            <w:r w:rsidRPr="0034477B">
              <w:rPr>
                <w:sz w:val="16"/>
                <w:szCs w:val="16"/>
              </w:rPr>
              <w:t>Microsoft Office is configured to disable support for Flash content.</w:t>
            </w:r>
          </w:p>
          <w:p w14:paraId="6D201034" w14:textId="3405A5C0" w:rsidR="008258B2" w:rsidRPr="0034477B" w:rsidRDefault="00676F06" w:rsidP="0034477B">
            <w:pPr>
              <w:pStyle w:val="TableText"/>
              <w:rPr>
                <w:sz w:val="16"/>
                <w:szCs w:val="16"/>
              </w:rPr>
            </w:pPr>
            <w:r w:rsidRPr="0034477B">
              <w:rPr>
                <w:sz w:val="16"/>
                <w:szCs w:val="16"/>
              </w:rPr>
              <w:t xml:space="preserve">Microsoft Office is configured to prevent activation of Object </w:t>
            </w:r>
            <w:r w:rsidR="00CD7F13" w:rsidRPr="0034477B">
              <w:rPr>
                <w:sz w:val="16"/>
                <w:szCs w:val="16"/>
              </w:rPr>
              <w:t>Linking and Embedding packages.</w:t>
            </w:r>
          </w:p>
        </w:tc>
      </w:tr>
      <w:tr w:rsidR="00A115C6" w:rsidRPr="002B28AA" w14:paraId="51840499" w14:textId="77777777" w:rsidTr="00CD7F13">
        <w:trPr>
          <w:cantSplit/>
        </w:trPr>
        <w:tc>
          <w:tcPr>
            <w:tcW w:w="1560" w:type="dxa"/>
            <w:tcBorders>
              <w:top w:val="single" w:sz="4" w:space="0" w:color="D9D9D9" w:themeColor="background1" w:themeShade="D9"/>
            </w:tcBorders>
            <w:tcMar>
              <w:top w:w="57" w:type="dxa"/>
              <w:left w:w="57" w:type="dxa"/>
              <w:bottom w:w="57" w:type="dxa"/>
              <w:right w:w="57" w:type="dxa"/>
            </w:tcMar>
          </w:tcPr>
          <w:p w14:paraId="4F52B532" w14:textId="77777777" w:rsidR="00A115C6" w:rsidRPr="0034477B" w:rsidRDefault="00A115C6" w:rsidP="0034477B">
            <w:pPr>
              <w:pStyle w:val="TableText"/>
              <w:rPr>
                <w:b/>
                <w:sz w:val="16"/>
                <w:szCs w:val="16"/>
              </w:rPr>
            </w:pPr>
            <w:r w:rsidRPr="0034477B">
              <w:rPr>
                <w:b/>
                <w:sz w:val="16"/>
                <w:szCs w:val="16"/>
              </w:rPr>
              <w:t>Restrict administrative privileges</w:t>
            </w:r>
          </w:p>
        </w:tc>
        <w:tc>
          <w:tcPr>
            <w:tcW w:w="6709" w:type="dxa"/>
            <w:tcBorders>
              <w:top w:val="single" w:sz="4" w:space="0" w:color="D9D9D9" w:themeColor="background1" w:themeShade="D9"/>
            </w:tcBorders>
            <w:tcMar>
              <w:top w:w="57" w:type="dxa"/>
              <w:left w:w="57" w:type="dxa"/>
              <w:bottom w:w="57" w:type="dxa"/>
              <w:right w:w="57" w:type="dxa"/>
            </w:tcMar>
          </w:tcPr>
          <w:p w14:paraId="23DB204A" w14:textId="6DE1250D" w:rsidR="00CD7F13" w:rsidRPr="0034477B" w:rsidRDefault="00CD7F13" w:rsidP="0034477B">
            <w:pPr>
              <w:pStyle w:val="TableText"/>
              <w:rPr>
                <w:sz w:val="16"/>
                <w:szCs w:val="16"/>
              </w:rPr>
            </w:pPr>
            <w:r w:rsidRPr="0034477B">
              <w:rPr>
                <w:sz w:val="16"/>
                <w:szCs w:val="16"/>
              </w:rPr>
              <w:t>Privileged access to systems, applications and information is validated when first requested.</w:t>
            </w:r>
          </w:p>
          <w:p w14:paraId="598DBE7A" w14:textId="41D3DE55" w:rsidR="00CD7F13" w:rsidRPr="0034477B" w:rsidRDefault="00CD7F13" w:rsidP="0034477B">
            <w:pPr>
              <w:pStyle w:val="TableText"/>
              <w:rPr>
                <w:sz w:val="16"/>
                <w:szCs w:val="16"/>
              </w:rPr>
            </w:pPr>
            <w:r w:rsidRPr="0034477B">
              <w:rPr>
                <w:sz w:val="16"/>
                <w:szCs w:val="16"/>
              </w:rPr>
              <w:t>Policy security controls are used to prevent privileged users from reading emails, browsing the Web and obtaining files via online services.</w:t>
            </w:r>
          </w:p>
        </w:tc>
        <w:tc>
          <w:tcPr>
            <w:tcW w:w="6709" w:type="dxa"/>
            <w:tcBorders>
              <w:top w:val="single" w:sz="4" w:space="0" w:color="D9D9D9" w:themeColor="background1" w:themeShade="D9"/>
            </w:tcBorders>
            <w:tcMar>
              <w:top w:w="57" w:type="dxa"/>
              <w:left w:w="57" w:type="dxa"/>
              <w:bottom w:w="57" w:type="dxa"/>
              <w:right w:w="57" w:type="dxa"/>
            </w:tcMar>
          </w:tcPr>
          <w:p w14:paraId="15EFBE05" w14:textId="77777777" w:rsidR="00676F06" w:rsidRPr="0034477B" w:rsidRDefault="00676F06" w:rsidP="0034477B">
            <w:pPr>
              <w:pStyle w:val="TableText"/>
              <w:rPr>
                <w:sz w:val="16"/>
                <w:szCs w:val="16"/>
              </w:rPr>
            </w:pPr>
            <w:r w:rsidRPr="0034477B">
              <w:rPr>
                <w:sz w:val="16"/>
                <w:szCs w:val="16"/>
              </w:rPr>
              <w:t>Privileged access to systems, applications and information is validated when first requested and revalidated on an annual or more frequent basis.</w:t>
            </w:r>
          </w:p>
          <w:p w14:paraId="4CC1F5C6" w14:textId="2EFA5F15" w:rsidR="00676F06" w:rsidRPr="0034477B" w:rsidRDefault="00676F06" w:rsidP="0034477B">
            <w:pPr>
              <w:pStyle w:val="TableText"/>
              <w:rPr>
                <w:sz w:val="16"/>
                <w:szCs w:val="16"/>
              </w:rPr>
            </w:pPr>
            <w:r w:rsidRPr="0034477B">
              <w:rPr>
                <w:sz w:val="16"/>
                <w:szCs w:val="16"/>
              </w:rPr>
              <w:t>Policy security controls are used to prevent privileged users from reading emails, browsing the Web and obtaining files via online services.</w:t>
            </w:r>
          </w:p>
        </w:tc>
        <w:tc>
          <w:tcPr>
            <w:tcW w:w="6710" w:type="dxa"/>
            <w:tcBorders>
              <w:top w:val="single" w:sz="4" w:space="0" w:color="D9D9D9" w:themeColor="background1" w:themeShade="D9"/>
            </w:tcBorders>
            <w:tcMar>
              <w:top w:w="57" w:type="dxa"/>
              <w:left w:w="57" w:type="dxa"/>
              <w:bottom w:w="57" w:type="dxa"/>
              <w:right w:w="57" w:type="dxa"/>
            </w:tcMar>
          </w:tcPr>
          <w:p w14:paraId="406C64E3" w14:textId="77777777" w:rsidR="00676F06" w:rsidRPr="0034477B" w:rsidRDefault="00676F06" w:rsidP="0034477B">
            <w:pPr>
              <w:pStyle w:val="TableText"/>
              <w:rPr>
                <w:sz w:val="16"/>
                <w:szCs w:val="16"/>
              </w:rPr>
            </w:pPr>
            <w:r w:rsidRPr="0034477B">
              <w:rPr>
                <w:sz w:val="16"/>
                <w:szCs w:val="16"/>
              </w:rPr>
              <w:t>Privileged access to systems, applications and information is validated when first requested and revalidated on an annual or more frequent basis.</w:t>
            </w:r>
          </w:p>
          <w:p w14:paraId="278E85AC" w14:textId="77777777" w:rsidR="00676F06" w:rsidRPr="0034477B" w:rsidRDefault="00676F06" w:rsidP="0034477B">
            <w:pPr>
              <w:pStyle w:val="TableText"/>
              <w:rPr>
                <w:sz w:val="16"/>
                <w:szCs w:val="16"/>
              </w:rPr>
            </w:pPr>
            <w:r w:rsidRPr="0034477B">
              <w:rPr>
                <w:sz w:val="16"/>
                <w:szCs w:val="16"/>
              </w:rPr>
              <w:t>Privileged access to systems, applications and information is limited to that required for personnel to undertake their duties.</w:t>
            </w:r>
          </w:p>
          <w:p w14:paraId="6397CC43" w14:textId="0597B513" w:rsidR="00676F06" w:rsidRPr="0034477B" w:rsidRDefault="00676F06" w:rsidP="0034477B">
            <w:pPr>
              <w:pStyle w:val="TableText"/>
              <w:rPr>
                <w:sz w:val="16"/>
                <w:szCs w:val="16"/>
              </w:rPr>
            </w:pPr>
            <w:r w:rsidRPr="0034477B">
              <w:rPr>
                <w:sz w:val="16"/>
                <w:szCs w:val="16"/>
              </w:rPr>
              <w:t>Technical security controls are used to prevent privileged users from reading emails, browsing the Web and obtaining files via online services.</w:t>
            </w:r>
          </w:p>
        </w:tc>
      </w:tr>
      <w:tr w:rsidR="00A115C6" w:rsidRPr="002B28AA" w14:paraId="519CA780" w14:textId="77777777" w:rsidTr="00CD7F13">
        <w:trPr>
          <w:cantSplit/>
        </w:trPr>
        <w:tc>
          <w:tcPr>
            <w:tcW w:w="1560" w:type="dxa"/>
            <w:tcMar>
              <w:top w:w="57" w:type="dxa"/>
              <w:left w:w="57" w:type="dxa"/>
              <w:bottom w:w="57" w:type="dxa"/>
              <w:right w:w="57" w:type="dxa"/>
            </w:tcMar>
          </w:tcPr>
          <w:p w14:paraId="50B14EC0" w14:textId="77777777" w:rsidR="00A115C6" w:rsidRPr="0034477B" w:rsidRDefault="00A115C6" w:rsidP="0034477B">
            <w:pPr>
              <w:pStyle w:val="TableText"/>
              <w:rPr>
                <w:b/>
                <w:sz w:val="16"/>
                <w:szCs w:val="16"/>
              </w:rPr>
            </w:pPr>
            <w:r w:rsidRPr="0034477B">
              <w:rPr>
                <w:b/>
                <w:sz w:val="16"/>
                <w:szCs w:val="16"/>
              </w:rPr>
              <w:t>Patch operating systems</w:t>
            </w:r>
          </w:p>
        </w:tc>
        <w:tc>
          <w:tcPr>
            <w:tcW w:w="6709" w:type="dxa"/>
            <w:tcMar>
              <w:top w:w="57" w:type="dxa"/>
              <w:left w:w="57" w:type="dxa"/>
              <w:bottom w:w="57" w:type="dxa"/>
              <w:right w:w="57" w:type="dxa"/>
            </w:tcMar>
          </w:tcPr>
          <w:p w14:paraId="1D69D79D" w14:textId="06F9543A" w:rsidR="00CD7F13" w:rsidRPr="0034477B" w:rsidRDefault="00CD7F13" w:rsidP="0034477B">
            <w:pPr>
              <w:pStyle w:val="TableText"/>
              <w:rPr>
                <w:sz w:val="16"/>
                <w:szCs w:val="16"/>
              </w:rPr>
            </w:pPr>
            <w:r w:rsidRPr="0034477B">
              <w:rPr>
                <w:sz w:val="16"/>
                <w:szCs w:val="16"/>
              </w:rPr>
              <w:t>Security vulnerabilities in operating systems and firmware assessed as extreme risk are patched, updated or mitigated within one month of the security vulnerabilities being identified by vendors, independent third parties, system managers or users.</w:t>
            </w:r>
          </w:p>
          <w:p w14:paraId="1E65A877" w14:textId="7E5841A3" w:rsidR="00A115C6" w:rsidRPr="0034477B" w:rsidRDefault="00CD7F13" w:rsidP="0034477B">
            <w:pPr>
              <w:pStyle w:val="TableText"/>
              <w:rPr>
                <w:sz w:val="16"/>
                <w:szCs w:val="16"/>
              </w:rPr>
            </w:pPr>
            <w:r w:rsidRPr="0034477B">
              <w:rPr>
                <w:sz w:val="16"/>
                <w:szCs w:val="16"/>
              </w:rPr>
              <w:t>Operating systems for workstations, servers and ICT equipment that are no longer supported by vendors with patches or updates for security vulnerabilities are updated or replaced with vendor-supported versions.</w:t>
            </w:r>
          </w:p>
        </w:tc>
        <w:tc>
          <w:tcPr>
            <w:tcW w:w="6709" w:type="dxa"/>
            <w:tcMar>
              <w:top w:w="57" w:type="dxa"/>
              <w:left w:w="57" w:type="dxa"/>
              <w:bottom w:w="57" w:type="dxa"/>
              <w:right w:w="57" w:type="dxa"/>
            </w:tcMar>
          </w:tcPr>
          <w:p w14:paraId="3E30CAC0" w14:textId="22CDA614" w:rsidR="00CD7F13" w:rsidRPr="0034477B" w:rsidRDefault="00CD7F13" w:rsidP="0034477B">
            <w:pPr>
              <w:pStyle w:val="TableText"/>
              <w:rPr>
                <w:sz w:val="16"/>
                <w:szCs w:val="16"/>
              </w:rPr>
            </w:pPr>
            <w:r w:rsidRPr="0034477B">
              <w:rPr>
                <w:sz w:val="16"/>
                <w:szCs w:val="16"/>
              </w:rPr>
              <w:t>Security vulnerabilities in operating systems and firmware assessed as extreme risk are patched, updated or mitig</w:t>
            </w:r>
            <w:r w:rsidRPr="0034477B">
              <w:rPr>
                <w:color w:val="000000" w:themeColor="text1"/>
                <w:sz w:val="16"/>
                <w:szCs w:val="16"/>
              </w:rPr>
              <w:t xml:space="preserve">ated within two weeks of </w:t>
            </w:r>
            <w:r w:rsidRPr="0034477B">
              <w:rPr>
                <w:sz w:val="16"/>
                <w:szCs w:val="16"/>
              </w:rPr>
              <w:t>the security vulnerabilities being identified by vendors, independent third parties, system managers or users.</w:t>
            </w:r>
          </w:p>
          <w:p w14:paraId="41875312" w14:textId="36528F45" w:rsidR="00A115C6" w:rsidRPr="0034477B" w:rsidRDefault="00CD7F13" w:rsidP="0034477B">
            <w:pPr>
              <w:pStyle w:val="TableText"/>
              <w:rPr>
                <w:sz w:val="16"/>
                <w:szCs w:val="16"/>
              </w:rPr>
            </w:pPr>
            <w:r w:rsidRPr="0034477B">
              <w:rPr>
                <w:sz w:val="16"/>
                <w:szCs w:val="16"/>
              </w:rPr>
              <w:t>Operating systems for workstations, servers and ICT equipment that are no longer supported by vendors with patches or updates for security vulnerabilities are updated or replaced with vendor-supported versions.</w:t>
            </w:r>
          </w:p>
        </w:tc>
        <w:tc>
          <w:tcPr>
            <w:tcW w:w="6710" w:type="dxa"/>
            <w:tcMar>
              <w:top w:w="57" w:type="dxa"/>
              <w:left w:w="57" w:type="dxa"/>
              <w:bottom w:w="57" w:type="dxa"/>
              <w:right w:w="57" w:type="dxa"/>
            </w:tcMar>
          </w:tcPr>
          <w:p w14:paraId="4AC2F10D" w14:textId="77777777" w:rsidR="00CD7F13" w:rsidRPr="0034477B" w:rsidRDefault="00CD7F13" w:rsidP="0034477B">
            <w:pPr>
              <w:pStyle w:val="TableText"/>
              <w:rPr>
                <w:sz w:val="16"/>
                <w:szCs w:val="16"/>
              </w:rPr>
            </w:pPr>
            <w:r w:rsidRPr="0034477B">
              <w:rPr>
                <w:sz w:val="16"/>
                <w:szCs w:val="16"/>
              </w:rPr>
              <w:t>Security vulnerabilities in operating systems and firmware assessed as extreme risk are patched, updated or mitigated within 48 hours of the security vulnerabilities being identified by vendors, independent third parties, system managers or users.</w:t>
            </w:r>
          </w:p>
          <w:p w14:paraId="10A9D0C5" w14:textId="77777777" w:rsidR="00CD7F13" w:rsidRPr="0034477B" w:rsidRDefault="00CD7F13" w:rsidP="0034477B">
            <w:pPr>
              <w:pStyle w:val="TableText"/>
              <w:rPr>
                <w:sz w:val="16"/>
                <w:szCs w:val="16"/>
              </w:rPr>
            </w:pPr>
            <w:r w:rsidRPr="0034477B">
              <w:rPr>
                <w:sz w:val="16"/>
                <w:szCs w:val="16"/>
              </w:rPr>
              <w:t>An automated mechanism is used to confirm and record that deployed operating system and firmware patches or updates have been installed, applied successfully and remain in place.</w:t>
            </w:r>
          </w:p>
          <w:p w14:paraId="076F3DA5" w14:textId="36AABDA9" w:rsidR="00CD7F13" w:rsidRPr="0034477B" w:rsidRDefault="00CD7F13" w:rsidP="0034477B">
            <w:pPr>
              <w:pStyle w:val="TableText"/>
              <w:rPr>
                <w:sz w:val="16"/>
                <w:szCs w:val="16"/>
              </w:rPr>
            </w:pPr>
            <w:r w:rsidRPr="0034477B">
              <w:rPr>
                <w:sz w:val="16"/>
                <w:szCs w:val="16"/>
              </w:rPr>
              <w:t>Operating systems for workstations, servers and ICT equipment that are no longer supported by vendors with patches or updates for security vulnerabilities are updated or replaced with vendor-supported versions.</w:t>
            </w:r>
          </w:p>
        </w:tc>
      </w:tr>
      <w:tr w:rsidR="00A115C6" w:rsidRPr="002B28AA" w14:paraId="25A8525D" w14:textId="77777777" w:rsidTr="00CD7F13">
        <w:trPr>
          <w:cantSplit/>
        </w:trPr>
        <w:tc>
          <w:tcPr>
            <w:tcW w:w="1560" w:type="dxa"/>
            <w:tcBorders>
              <w:bottom w:val="single" w:sz="4" w:space="0" w:color="D9D9D9" w:themeColor="background1" w:themeShade="D9"/>
            </w:tcBorders>
            <w:tcMar>
              <w:top w:w="57" w:type="dxa"/>
              <w:left w:w="57" w:type="dxa"/>
              <w:bottom w:w="57" w:type="dxa"/>
              <w:right w:w="57" w:type="dxa"/>
            </w:tcMar>
          </w:tcPr>
          <w:p w14:paraId="4C0B2F18" w14:textId="77777777" w:rsidR="00A115C6" w:rsidRPr="0034477B" w:rsidRDefault="00A115C6" w:rsidP="0034477B">
            <w:pPr>
              <w:pStyle w:val="TableText"/>
              <w:rPr>
                <w:b/>
                <w:sz w:val="16"/>
                <w:szCs w:val="16"/>
              </w:rPr>
            </w:pPr>
            <w:r w:rsidRPr="0034477B">
              <w:rPr>
                <w:b/>
                <w:sz w:val="16"/>
                <w:szCs w:val="16"/>
              </w:rPr>
              <w:t>Multi-factor authentication</w:t>
            </w:r>
          </w:p>
        </w:tc>
        <w:tc>
          <w:tcPr>
            <w:tcW w:w="6709" w:type="dxa"/>
            <w:tcBorders>
              <w:bottom w:val="single" w:sz="4" w:space="0" w:color="D9D9D9" w:themeColor="background1" w:themeShade="D9"/>
            </w:tcBorders>
            <w:tcMar>
              <w:top w:w="57" w:type="dxa"/>
              <w:left w:w="57" w:type="dxa"/>
              <w:bottom w:w="57" w:type="dxa"/>
              <w:right w:w="57" w:type="dxa"/>
            </w:tcMar>
          </w:tcPr>
          <w:p w14:paraId="6DCABE37" w14:textId="793415D9" w:rsidR="00C81EEB" w:rsidRPr="0034477B" w:rsidRDefault="00C81EEB" w:rsidP="0034477B">
            <w:pPr>
              <w:pStyle w:val="TableText"/>
              <w:rPr>
                <w:color w:val="000000" w:themeColor="text1"/>
                <w:sz w:val="16"/>
                <w:szCs w:val="16"/>
              </w:rPr>
            </w:pPr>
            <w:r w:rsidRPr="0034477B">
              <w:rPr>
                <w:color w:val="000000" w:themeColor="text1"/>
                <w:sz w:val="16"/>
                <w:szCs w:val="16"/>
              </w:rPr>
              <w:t>Multi-factor authentication is used to authenticate all users of remote access solutions</w:t>
            </w:r>
            <w:r w:rsidR="00CD7F13" w:rsidRPr="0034477B">
              <w:rPr>
                <w:color w:val="000000" w:themeColor="text1"/>
                <w:sz w:val="16"/>
                <w:szCs w:val="16"/>
              </w:rPr>
              <w:t>.</w:t>
            </w:r>
          </w:p>
          <w:p w14:paraId="6BB8ABA2" w14:textId="57FFD64D" w:rsidR="008D77C3" w:rsidRPr="0034477B" w:rsidRDefault="00827FFB" w:rsidP="0034477B">
            <w:pPr>
              <w:pStyle w:val="TableText"/>
              <w:rPr>
                <w:color w:val="000000" w:themeColor="text1"/>
                <w:sz w:val="16"/>
                <w:szCs w:val="16"/>
              </w:rPr>
            </w:pPr>
            <w:r w:rsidRPr="0034477B">
              <w:rPr>
                <w:color w:val="000000" w:themeColor="text1"/>
                <w:sz w:val="16"/>
                <w:szCs w:val="16"/>
              </w:rPr>
              <w:t xml:space="preserve">Multi-factor authentication uses at least two of the following authentication factors: passwords with six or more characters, Universal 2nd Factor security keys, physical one-time password tokens, biometrics, smartcards, mobile app </w:t>
            </w:r>
            <w:r w:rsidR="0064199B" w:rsidRPr="0034477B">
              <w:rPr>
                <w:color w:val="000000" w:themeColor="text1"/>
                <w:sz w:val="16"/>
                <w:szCs w:val="16"/>
              </w:rPr>
              <w:t>one-time password</w:t>
            </w:r>
            <w:r w:rsidRPr="0034477B">
              <w:rPr>
                <w:color w:val="000000" w:themeColor="text1"/>
                <w:sz w:val="16"/>
                <w:szCs w:val="16"/>
              </w:rPr>
              <w:t xml:space="preserve"> tokens, SMS messages, emails, voice calls or software certificates.</w:t>
            </w:r>
          </w:p>
        </w:tc>
        <w:tc>
          <w:tcPr>
            <w:tcW w:w="6709" w:type="dxa"/>
            <w:tcBorders>
              <w:bottom w:val="single" w:sz="4" w:space="0" w:color="D9D9D9" w:themeColor="background1" w:themeShade="D9"/>
            </w:tcBorders>
            <w:tcMar>
              <w:top w:w="57" w:type="dxa"/>
              <w:left w:w="57" w:type="dxa"/>
              <w:bottom w:w="57" w:type="dxa"/>
              <w:right w:w="57" w:type="dxa"/>
            </w:tcMar>
          </w:tcPr>
          <w:p w14:paraId="56F82223" w14:textId="4CF0D4F0" w:rsidR="00C81EEB" w:rsidRPr="0034477B" w:rsidRDefault="00C81EEB" w:rsidP="0034477B">
            <w:pPr>
              <w:pStyle w:val="TableText"/>
              <w:rPr>
                <w:color w:val="000000" w:themeColor="text1"/>
                <w:sz w:val="16"/>
                <w:szCs w:val="16"/>
              </w:rPr>
            </w:pPr>
            <w:r w:rsidRPr="0034477B">
              <w:rPr>
                <w:color w:val="000000" w:themeColor="text1"/>
                <w:sz w:val="16"/>
                <w:szCs w:val="16"/>
              </w:rPr>
              <w:t>Multi-factor authentication is used to authenticate all users of remote access solutions</w:t>
            </w:r>
            <w:r w:rsidR="00CD7F13" w:rsidRPr="0034477B">
              <w:rPr>
                <w:color w:val="000000" w:themeColor="text1"/>
                <w:sz w:val="16"/>
                <w:szCs w:val="16"/>
              </w:rPr>
              <w:t>.</w:t>
            </w:r>
          </w:p>
          <w:p w14:paraId="7B282975" w14:textId="511C969D" w:rsidR="00A115C6" w:rsidRPr="0034477B" w:rsidRDefault="00A115C6" w:rsidP="0034477B">
            <w:pPr>
              <w:pStyle w:val="TableText"/>
              <w:rPr>
                <w:color w:val="000000" w:themeColor="text1"/>
                <w:sz w:val="16"/>
                <w:szCs w:val="16"/>
              </w:rPr>
            </w:pPr>
            <w:r w:rsidRPr="0034477B">
              <w:rPr>
                <w:color w:val="000000" w:themeColor="text1"/>
                <w:sz w:val="16"/>
                <w:szCs w:val="16"/>
              </w:rPr>
              <w:t xml:space="preserve">Multi-factor authentication is </w:t>
            </w:r>
            <w:r w:rsidR="00C81EEB" w:rsidRPr="0034477B">
              <w:rPr>
                <w:color w:val="000000" w:themeColor="text1"/>
                <w:sz w:val="16"/>
                <w:szCs w:val="16"/>
              </w:rPr>
              <w:t xml:space="preserve">used to authenticate all </w:t>
            </w:r>
            <w:r w:rsidRPr="0034477B">
              <w:rPr>
                <w:color w:val="000000" w:themeColor="text1"/>
                <w:sz w:val="16"/>
                <w:szCs w:val="16"/>
              </w:rPr>
              <w:t xml:space="preserve">privileged </w:t>
            </w:r>
            <w:r w:rsidR="00C81EEB" w:rsidRPr="0034477B">
              <w:rPr>
                <w:color w:val="000000" w:themeColor="text1"/>
                <w:sz w:val="16"/>
                <w:szCs w:val="16"/>
              </w:rPr>
              <w:t>users and any other positions of trust</w:t>
            </w:r>
            <w:r w:rsidR="00CD7F13" w:rsidRPr="0034477B">
              <w:rPr>
                <w:color w:val="000000" w:themeColor="text1"/>
                <w:sz w:val="16"/>
                <w:szCs w:val="16"/>
              </w:rPr>
              <w:t>.</w:t>
            </w:r>
          </w:p>
          <w:p w14:paraId="4ECB5CD9" w14:textId="3055D76F" w:rsidR="008D77C3" w:rsidRPr="0034477B" w:rsidRDefault="00827FFB" w:rsidP="0034477B">
            <w:pPr>
              <w:pStyle w:val="TableText"/>
              <w:rPr>
                <w:color w:val="000000" w:themeColor="text1"/>
                <w:sz w:val="16"/>
                <w:szCs w:val="16"/>
              </w:rPr>
            </w:pPr>
            <w:r w:rsidRPr="0034477B">
              <w:rPr>
                <w:color w:val="000000" w:themeColor="text1"/>
                <w:sz w:val="16"/>
                <w:szCs w:val="16"/>
              </w:rPr>
              <w:t xml:space="preserve">Multi-factor authentication uses at least two of the following authentication factors: passwords with six or more characters, Universal 2nd Factor security keys, physical one-time password tokens, biometrics, </w:t>
            </w:r>
            <w:proofErr w:type="gramStart"/>
            <w:r w:rsidRPr="0034477B">
              <w:rPr>
                <w:color w:val="000000" w:themeColor="text1"/>
                <w:sz w:val="16"/>
                <w:szCs w:val="16"/>
              </w:rPr>
              <w:t>smartcards</w:t>
            </w:r>
            <w:proofErr w:type="gramEnd"/>
            <w:r w:rsidRPr="0034477B">
              <w:rPr>
                <w:color w:val="000000" w:themeColor="text1"/>
                <w:sz w:val="16"/>
                <w:szCs w:val="16"/>
              </w:rPr>
              <w:t xml:space="preserve"> or mobile app </w:t>
            </w:r>
            <w:r w:rsidR="0064199B" w:rsidRPr="0034477B">
              <w:rPr>
                <w:color w:val="000000" w:themeColor="text1"/>
                <w:sz w:val="16"/>
                <w:szCs w:val="16"/>
              </w:rPr>
              <w:t xml:space="preserve">one-time password </w:t>
            </w:r>
            <w:r w:rsidRPr="0034477B">
              <w:rPr>
                <w:color w:val="000000" w:themeColor="text1"/>
                <w:sz w:val="16"/>
                <w:szCs w:val="16"/>
              </w:rPr>
              <w:t>tokens.</w:t>
            </w:r>
          </w:p>
        </w:tc>
        <w:tc>
          <w:tcPr>
            <w:tcW w:w="6710" w:type="dxa"/>
            <w:tcBorders>
              <w:bottom w:val="single" w:sz="4" w:space="0" w:color="D9D9D9" w:themeColor="background1" w:themeShade="D9"/>
            </w:tcBorders>
            <w:tcMar>
              <w:top w:w="57" w:type="dxa"/>
              <w:left w:w="57" w:type="dxa"/>
              <w:bottom w:w="57" w:type="dxa"/>
              <w:right w:w="57" w:type="dxa"/>
            </w:tcMar>
          </w:tcPr>
          <w:p w14:paraId="6AB5C7AC" w14:textId="02FB4121" w:rsidR="00A115C6" w:rsidRPr="0034477B" w:rsidRDefault="00A115C6" w:rsidP="0034477B">
            <w:pPr>
              <w:pStyle w:val="TableText"/>
              <w:rPr>
                <w:color w:val="000000" w:themeColor="text1"/>
                <w:sz w:val="16"/>
                <w:szCs w:val="16"/>
              </w:rPr>
            </w:pPr>
            <w:r w:rsidRPr="0034477B">
              <w:rPr>
                <w:color w:val="000000" w:themeColor="text1"/>
                <w:sz w:val="16"/>
                <w:szCs w:val="16"/>
              </w:rPr>
              <w:t xml:space="preserve">Multi-factor authentication is </w:t>
            </w:r>
            <w:r w:rsidR="00C81EEB" w:rsidRPr="0034477B">
              <w:rPr>
                <w:color w:val="000000" w:themeColor="text1"/>
                <w:sz w:val="16"/>
                <w:szCs w:val="16"/>
              </w:rPr>
              <w:t xml:space="preserve">used to authenticate all users of </w:t>
            </w:r>
            <w:r w:rsidRPr="0034477B">
              <w:rPr>
                <w:color w:val="000000" w:themeColor="text1"/>
                <w:sz w:val="16"/>
                <w:szCs w:val="16"/>
              </w:rPr>
              <w:t>remote access solutions</w:t>
            </w:r>
            <w:r w:rsidR="00CD7F13" w:rsidRPr="0034477B">
              <w:rPr>
                <w:color w:val="000000" w:themeColor="text1"/>
                <w:sz w:val="16"/>
                <w:szCs w:val="16"/>
              </w:rPr>
              <w:t>.</w:t>
            </w:r>
          </w:p>
          <w:p w14:paraId="10086F04" w14:textId="1FEED473" w:rsidR="00C81EEB" w:rsidRPr="0034477B" w:rsidRDefault="00C81EEB" w:rsidP="0034477B">
            <w:pPr>
              <w:pStyle w:val="TableText"/>
              <w:rPr>
                <w:color w:val="000000" w:themeColor="text1"/>
                <w:sz w:val="16"/>
                <w:szCs w:val="16"/>
              </w:rPr>
            </w:pPr>
            <w:r w:rsidRPr="0034477B">
              <w:rPr>
                <w:color w:val="000000" w:themeColor="text1"/>
                <w:sz w:val="16"/>
                <w:szCs w:val="16"/>
              </w:rPr>
              <w:t>Multi-factor authentication is used to authenticate all privileged users and any other positions of trust</w:t>
            </w:r>
            <w:r w:rsidR="00CD7F13" w:rsidRPr="0034477B">
              <w:rPr>
                <w:color w:val="000000" w:themeColor="text1"/>
                <w:sz w:val="16"/>
                <w:szCs w:val="16"/>
              </w:rPr>
              <w:t>.</w:t>
            </w:r>
          </w:p>
          <w:p w14:paraId="2C851E4C" w14:textId="63047404" w:rsidR="00A115C6" w:rsidRPr="0034477B" w:rsidRDefault="00A115C6" w:rsidP="0034477B">
            <w:pPr>
              <w:pStyle w:val="TableText"/>
              <w:rPr>
                <w:color w:val="000000" w:themeColor="text1"/>
                <w:sz w:val="16"/>
                <w:szCs w:val="16"/>
              </w:rPr>
            </w:pPr>
            <w:r w:rsidRPr="0034477B">
              <w:rPr>
                <w:color w:val="000000" w:themeColor="text1"/>
                <w:sz w:val="16"/>
                <w:szCs w:val="16"/>
              </w:rPr>
              <w:t xml:space="preserve">Multi-factor authentication is </w:t>
            </w:r>
            <w:r w:rsidR="00C81EEB" w:rsidRPr="0034477B">
              <w:rPr>
                <w:color w:val="000000" w:themeColor="text1"/>
                <w:sz w:val="16"/>
                <w:szCs w:val="16"/>
              </w:rPr>
              <w:t xml:space="preserve">used to authenticate </w:t>
            </w:r>
            <w:r w:rsidRPr="0034477B">
              <w:rPr>
                <w:color w:val="000000" w:themeColor="text1"/>
                <w:sz w:val="16"/>
                <w:szCs w:val="16"/>
              </w:rPr>
              <w:t xml:space="preserve">all users </w:t>
            </w:r>
            <w:r w:rsidR="00C81EEB" w:rsidRPr="0034477B">
              <w:rPr>
                <w:color w:val="000000" w:themeColor="text1"/>
                <w:sz w:val="16"/>
                <w:szCs w:val="16"/>
              </w:rPr>
              <w:t xml:space="preserve">when </w:t>
            </w:r>
            <w:r w:rsidRPr="0034477B">
              <w:rPr>
                <w:color w:val="000000" w:themeColor="text1"/>
                <w:sz w:val="16"/>
                <w:szCs w:val="16"/>
              </w:rPr>
              <w:t>accessing important data repositories</w:t>
            </w:r>
            <w:r w:rsidR="00CD7F13" w:rsidRPr="0034477B">
              <w:rPr>
                <w:color w:val="000000" w:themeColor="text1"/>
                <w:sz w:val="16"/>
                <w:szCs w:val="16"/>
              </w:rPr>
              <w:t>.</w:t>
            </w:r>
          </w:p>
          <w:p w14:paraId="09E808DA" w14:textId="4A870AF8" w:rsidR="00CC076D" w:rsidRPr="0034477B" w:rsidRDefault="00CC076D" w:rsidP="0034477B">
            <w:pPr>
              <w:pStyle w:val="TableText"/>
              <w:rPr>
                <w:color w:val="000000" w:themeColor="text1"/>
                <w:sz w:val="16"/>
                <w:szCs w:val="16"/>
              </w:rPr>
            </w:pPr>
            <w:r w:rsidRPr="0034477B">
              <w:rPr>
                <w:color w:val="000000" w:themeColor="text1"/>
                <w:sz w:val="16"/>
                <w:szCs w:val="16"/>
              </w:rPr>
              <w:t>Multi-factor authentication uses at least two of the following authentication factors: passwords with six or more characters, Universal 2nd Factor security keys, physical one-time password tokens, biometrics or smartcards.</w:t>
            </w:r>
          </w:p>
        </w:tc>
      </w:tr>
      <w:tr w:rsidR="00A115C6" w:rsidRPr="002B28AA" w14:paraId="67F8292A" w14:textId="77777777" w:rsidTr="00CD7F13">
        <w:trPr>
          <w:cantSplit/>
        </w:trPr>
        <w:tc>
          <w:tcPr>
            <w:tcW w:w="1560" w:type="dxa"/>
            <w:tcBorders>
              <w:top w:val="single" w:sz="4" w:space="0" w:color="D9D9D9" w:themeColor="background1" w:themeShade="D9"/>
            </w:tcBorders>
            <w:tcMar>
              <w:top w:w="57" w:type="dxa"/>
              <w:left w:w="57" w:type="dxa"/>
              <w:bottom w:w="57" w:type="dxa"/>
              <w:right w:w="57" w:type="dxa"/>
            </w:tcMar>
          </w:tcPr>
          <w:p w14:paraId="456C71FB" w14:textId="77777777" w:rsidR="00A115C6" w:rsidRPr="0034477B" w:rsidRDefault="00A115C6" w:rsidP="0034477B">
            <w:pPr>
              <w:pStyle w:val="TableText"/>
              <w:rPr>
                <w:b/>
                <w:sz w:val="16"/>
                <w:szCs w:val="16"/>
              </w:rPr>
            </w:pPr>
            <w:r w:rsidRPr="0034477B">
              <w:rPr>
                <w:b/>
                <w:sz w:val="16"/>
                <w:szCs w:val="16"/>
              </w:rPr>
              <w:t>Daily backups</w:t>
            </w:r>
          </w:p>
        </w:tc>
        <w:tc>
          <w:tcPr>
            <w:tcW w:w="6709" w:type="dxa"/>
            <w:tcBorders>
              <w:top w:val="single" w:sz="4" w:space="0" w:color="D9D9D9" w:themeColor="background1" w:themeShade="D9"/>
            </w:tcBorders>
            <w:tcMar>
              <w:top w:w="57" w:type="dxa"/>
              <w:left w:w="57" w:type="dxa"/>
              <w:bottom w:w="57" w:type="dxa"/>
              <w:right w:w="57" w:type="dxa"/>
            </w:tcMar>
          </w:tcPr>
          <w:p w14:paraId="6C5D8CDD" w14:textId="3E179920" w:rsidR="00A115C6" w:rsidRPr="0034477B" w:rsidRDefault="00A115C6" w:rsidP="0034477B">
            <w:pPr>
              <w:pStyle w:val="TableText"/>
              <w:rPr>
                <w:sz w:val="16"/>
                <w:szCs w:val="16"/>
              </w:rPr>
            </w:pPr>
            <w:r w:rsidRPr="0034477B">
              <w:rPr>
                <w:sz w:val="16"/>
                <w:szCs w:val="16"/>
              </w:rPr>
              <w:t xml:space="preserve">Backups of important </w:t>
            </w:r>
            <w:r w:rsidR="007D4FE2" w:rsidRPr="0034477B">
              <w:rPr>
                <w:sz w:val="16"/>
                <w:szCs w:val="16"/>
              </w:rPr>
              <w:t>information</w:t>
            </w:r>
            <w:r w:rsidRPr="0034477B">
              <w:rPr>
                <w:sz w:val="16"/>
                <w:szCs w:val="16"/>
              </w:rPr>
              <w:t>, software and configuration settings are performed monthly</w:t>
            </w:r>
            <w:r w:rsidR="00CD7F13" w:rsidRPr="0034477B">
              <w:rPr>
                <w:sz w:val="16"/>
                <w:szCs w:val="16"/>
              </w:rPr>
              <w:t>.</w:t>
            </w:r>
          </w:p>
          <w:p w14:paraId="5BF1DC97" w14:textId="53972397" w:rsidR="00A115C6" w:rsidRPr="0034477B" w:rsidRDefault="00A115C6" w:rsidP="0034477B">
            <w:pPr>
              <w:pStyle w:val="TableText"/>
              <w:rPr>
                <w:sz w:val="16"/>
                <w:szCs w:val="16"/>
              </w:rPr>
            </w:pPr>
            <w:r w:rsidRPr="0034477B">
              <w:rPr>
                <w:sz w:val="16"/>
                <w:szCs w:val="16"/>
              </w:rPr>
              <w:t>Backups are stored for between one to three months</w:t>
            </w:r>
            <w:r w:rsidR="00CD7F13" w:rsidRPr="0034477B">
              <w:rPr>
                <w:sz w:val="16"/>
                <w:szCs w:val="16"/>
              </w:rPr>
              <w:t>.</w:t>
            </w:r>
          </w:p>
          <w:p w14:paraId="68A872AE" w14:textId="110C854C" w:rsidR="00242B05" w:rsidRPr="0034477B" w:rsidRDefault="00242B05" w:rsidP="0034477B">
            <w:pPr>
              <w:pStyle w:val="TableText"/>
              <w:rPr>
                <w:sz w:val="16"/>
                <w:szCs w:val="16"/>
              </w:rPr>
            </w:pPr>
            <w:r w:rsidRPr="0034477B">
              <w:rPr>
                <w:sz w:val="16"/>
                <w:szCs w:val="16"/>
              </w:rPr>
              <w:t xml:space="preserve">Partial restoration </w:t>
            </w:r>
            <w:r w:rsidR="002F08F5" w:rsidRPr="0034477B">
              <w:rPr>
                <w:sz w:val="16"/>
                <w:szCs w:val="16"/>
              </w:rPr>
              <w:t xml:space="preserve">of backups </w:t>
            </w:r>
            <w:r w:rsidRPr="0034477B">
              <w:rPr>
                <w:sz w:val="16"/>
                <w:szCs w:val="16"/>
              </w:rPr>
              <w:t>is tested on an annual or more frequent basis.</w:t>
            </w:r>
          </w:p>
        </w:tc>
        <w:tc>
          <w:tcPr>
            <w:tcW w:w="6709" w:type="dxa"/>
            <w:tcBorders>
              <w:top w:val="single" w:sz="4" w:space="0" w:color="D9D9D9" w:themeColor="background1" w:themeShade="D9"/>
            </w:tcBorders>
            <w:tcMar>
              <w:top w:w="57" w:type="dxa"/>
              <w:left w:w="57" w:type="dxa"/>
              <w:bottom w:w="57" w:type="dxa"/>
              <w:right w:w="57" w:type="dxa"/>
            </w:tcMar>
          </w:tcPr>
          <w:p w14:paraId="214477A5" w14:textId="6868452C" w:rsidR="00A115C6" w:rsidRPr="0034477B" w:rsidRDefault="00A115C6" w:rsidP="0034477B">
            <w:pPr>
              <w:pStyle w:val="TableText"/>
              <w:rPr>
                <w:sz w:val="16"/>
                <w:szCs w:val="16"/>
              </w:rPr>
            </w:pPr>
            <w:r w:rsidRPr="0034477B">
              <w:rPr>
                <w:sz w:val="16"/>
                <w:szCs w:val="16"/>
              </w:rPr>
              <w:t xml:space="preserve">Backups of important </w:t>
            </w:r>
            <w:r w:rsidR="007D4FE2" w:rsidRPr="0034477B">
              <w:rPr>
                <w:sz w:val="16"/>
                <w:szCs w:val="16"/>
              </w:rPr>
              <w:t>information</w:t>
            </w:r>
            <w:r w:rsidRPr="0034477B">
              <w:rPr>
                <w:sz w:val="16"/>
                <w:szCs w:val="16"/>
              </w:rPr>
              <w:t>, software and configuration settings are performed weekly</w:t>
            </w:r>
            <w:r w:rsidR="00CD7F13" w:rsidRPr="0034477B">
              <w:rPr>
                <w:sz w:val="16"/>
                <w:szCs w:val="16"/>
              </w:rPr>
              <w:t>.</w:t>
            </w:r>
          </w:p>
          <w:p w14:paraId="5AAEC723" w14:textId="22F12514" w:rsidR="00A115C6" w:rsidRPr="0034477B" w:rsidRDefault="00A115C6" w:rsidP="0034477B">
            <w:pPr>
              <w:pStyle w:val="TableText"/>
              <w:rPr>
                <w:sz w:val="16"/>
                <w:szCs w:val="16"/>
              </w:rPr>
            </w:pPr>
            <w:r w:rsidRPr="0034477B">
              <w:rPr>
                <w:sz w:val="16"/>
                <w:szCs w:val="16"/>
              </w:rPr>
              <w:t>Backups are stored offline, or online but in a non-rewritable and non-erasable manner</w:t>
            </w:r>
            <w:r w:rsidR="00CD7F13" w:rsidRPr="0034477B">
              <w:rPr>
                <w:sz w:val="16"/>
                <w:szCs w:val="16"/>
              </w:rPr>
              <w:t>.</w:t>
            </w:r>
          </w:p>
          <w:p w14:paraId="7E1A6D84" w14:textId="67159868" w:rsidR="00A115C6" w:rsidRPr="0034477B" w:rsidRDefault="00A115C6" w:rsidP="0034477B">
            <w:pPr>
              <w:pStyle w:val="TableText"/>
              <w:rPr>
                <w:sz w:val="16"/>
                <w:szCs w:val="16"/>
              </w:rPr>
            </w:pPr>
            <w:r w:rsidRPr="0034477B">
              <w:rPr>
                <w:sz w:val="16"/>
                <w:szCs w:val="16"/>
              </w:rPr>
              <w:t>Backups are stored for between one to three months</w:t>
            </w:r>
            <w:r w:rsidR="00CD7F13" w:rsidRPr="0034477B">
              <w:rPr>
                <w:sz w:val="16"/>
                <w:szCs w:val="16"/>
              </w:rPr>
              <w:t>.</w:t>
            </w:r>
          </w:p>
          <w:p w14:paraId="171F5002" w14:textId="132DC1D3" w:rsidR="00131E91" w:rsidRPr="0034477B" w:rsidRDefault="00131E91" w:rsidP="0034477B">
            <w:pPr>
              <w:pStyle w:val="TableText"/>
              <w:rPr>
                <w:sz w:val="16"/>
                <w:szCs w:val="16"/>
              </w:rPr>
            </w:pPr>
            <w:r w:rsidRPr="0034477B">
              <w:rPr>
                <w:sz w:val="16"/>
                <w:szCs w:val="16"/>
              </w:rPr>
              <w:t xml:space="preserve">Full restoration </w:t>
            </w:r>
            <w:r w:rsidR="002F08F5" w:rsidRPr="0034477B">
              <w:rPr>
                <w:sz w:val="16"/>
                <w:szCs w:val="16"/>
              </w:rPr>
              <w:t xml:space="preserve">of backups </w:t>
            </w:r>
            <w:r w:rsidRPr="0034477B">
              <w:rPr>
                <w:sz w:val="16"/>
                <w:szCs w:val="16"/>
              </w:rPr>
              <w:t>is tested at least once.</w:t>
            </w:r>
          </w:p>
          <w:p w14:paraId="2B9390E7" w14:textId="1EAD52DC" w:rsidR="00A115C6" w:rsidRPr="0034477B" w:rsidRDefault="00242B05" w:rsidP="0034477B">
            <w:pPr>
              <w:pStyle w:val="TableText"/>
              <w:rPr>
                <w:sz w:val="16"/>
                <w:szCs w:val="16"/>
              </w:rPr>
            </w:pPr>
            <w:r w:rsidRPr="0034477B">
              <w:rPr>
                <w:sz w:val="16"/>
                <w:szCs w:val="16"/>
              </w:rPr>
              <w:t xml:space="preserve">Partial restoration </w:t>
            </w:r>
            <w:r w:rsidR="002F08F5" w:rsidRPr="0034477B">
              <w:rPr>
                <w:sz w:val="16"/>
                <w:szCs w:val="16"/>
              </w:rPr>
              <w:t xml:space="preserve">of backups </w:t>
            </w:r>
            <w:r w:rsidRPr="0034477B">
              <w:rPr>
                <w:sz w:val="16"/>
                <w:szCs w:val="16"/>
              </w:rPr>
              <w:t xml:space="preserve">is tested on a </w:t>
            </w:r>
            <w:r w:rsidR="00F45A59" w:rsidRPr="0034477B">
              <w:rPr>
                <w:sz w:val="16"/>
                <w:szCs w:val="16"/>
              </w:rPr>
              <w:t>bi-</w:t>
            </w:r>
            <w:r w:rsidRPr="0034477B">
              <w:rPr>
                <w:sz w:val="16"/>
                <w:szCs w:val="16"/>
              </w:rPr>
              <w:t>annual or more frequent basis.</w:t>
            </w:r>
          </w:p>
        </w:tc>
        <w:tc>
          <w:tcPr>
            <w:tcW w:w="6710" w:type="dxa"/>
            <w:tcBorders>
              <w:top w:val="single" w:sz="4" w:space="0" w:color="D9D9D9" w:themeColor="background1" w:themeShade="D9"/>
            </w:tcBorders>
            <w:tcMar>
              <w:top w:w="57" w:type="dxa"/>
              <w:left w:w="57" w:type="dxa"/>
              <w:bottom w:w="57" w:type="dxa"/>
              <w:right w:w="57" w:type="dxa"/>
            </w:tcMar>
          </w:tcPr>
          <w:p w14:paraId="572AA836" w14:textId="3C58053E" w:rsidR="00A115C6" w:rsidRPr="0034477B" w:rsidRDefault="00A115C6" w:rsidP="0034477B">
            <w:pPr>
              <w:pStyle w:val="TableText"/>
              <w:rPr>
                <w:sz w:val="16"/>
                <w:szCs w:val="16"/>
              </w:rPr>
            </w:pPr>
            <w:r w:rsidRPr="0034477B">
              <w:rPr>
                <w:sz w:val="16"/>
                <w:szCs w:val="16"/>
              </w:rPr>
              <w:t xml:space="preserve">Backups of important </w:t>
            </w:r>
            <w:r w:rsidR="007D4FE2" w:rsidRPr="0034477B">
              <w:rPr>
                <w:sz w:val="16"/>
                <w:szCs w:val="16"/>
              </w:rPr>
              <w:t>information</w:t>
            </w:r>
            <w:r w:rsidRPr="0034477B">
              <w:rPr>
                <w:sz w:val="16"/>
                <w:szCs w:val="16"/>
              </w:rPr>
              <w:t xml:space="preserve">, software and configuration settings are performed </w:t>
            </w:r>
            <w:r w:rsidR="007D4FE2" w:rsidRPr="0034477B">
              <w:rPr>
                <w:sz w:val="16"/>
                <w:szCs w:val="16"/>
              </w:rPr>
              <w:t xml:space="preserve">at least </w:t>
            </w:r>
            <w:r w:rsidRPr="0034477B">
              <w:rPr>
                <w:sz w:val="16"/>
                <w:szCs w:val="16"/>
              </w:rPr>
              <w:t>daily</w:t>
            </w:r>
            <w:r w:rsidR="00CD7F13" w:rsidRPr="0034477B">
              <w:rPr>
                <w:sz w:val="16"/>
                <w:szCs w:val="16"/>
              </w:rPr>
              <w:t>.</w:t>
            </w:r>
          </w:p>
          <w:p w14:paraId="1A840599" w14:textId="6B7F25C7" w:rsidR="00A115C6" w:rsidRPr="0034477B" w:rsidRDefault="00A115C6" w:rsidP="0034477B">
            <w:pPr>
              <w:pStyle w:val="TableText"/>
              <w:rPr>
                <w:sz w:val="16"/>
                <w:szCs w:val="16"/>
              </w:rPr>
            </w:pPr>
            <w:r w:rsidRPr="0034477B">
              <w:rPr>
                <w:sz w:val="16"/>
                <w:szCs w:val="16"/>
              </w:rPr>
              <w:t>Backups are stored offline, or online but in a non-rewritable and non-erasable manner</w:t>
            </w:r>
            <w:r w:rsidR="00CD7F13" w:rsidRPr="0034477B">
              <w:rPr>
                <w:sz w:val="16"/>
                <w:szCs w:val="16"/>
              </w:rPr>
              <w:t>.</w:t>
            </w:r>
          </w:p>
          <w:p w14:paraId="55D77A39" w14:textId="1F8039C0" w:rsidR="00A115C6" w:rsidRPr="0034477B" w:rsidRDefault="00A115C6" w:rsidP="0034477B">
            <w:pPr>
              <w:pStyle w:val="TableText"/>
              <w:rPr>
                <w:sz w:val="16"/>
                <w:szCs w:val="16"/>
              </w:rPr>
            </w:pPr>
            <w:r w:rsidRPr="0034477B">
              <w:rPr>
                <w:sz w:val="16"/>
                <w:szCs w:val="16"/>
              </w:rPr>
              <w:t>Backups are stored for three months or greater</w:t>
            </w:r>
            <w:r w:rsidR="00CD7F13" w:rsidRPr="0034477B">
              <w:rPr>
                <w:sz w:val="16"/>
                <w:szCs w:val="16"/>
              </w:rPr>
              <w:t>.</w:t>
            </w:r>
          </w:p>
          <w:p w14:paraId="100A623D" w14:textId="2EFD9CFF" w:rsidR="00131E91" w:rsidRPr="0034477B" w:rsidRDefault="00131E91" w:rsidP="0034477B">
            <w:pPr>
              <w:pStyle w:val="TableText"/>
              <w:rPr>
                <w:sz w:val="16"/>
                <w:szCs w:val="16"/>
              </w:rPr>
            </w:pPr>
            <w:r w:rsidRPr="0034477B">
              <w:rPr>
                <w:sz w:val="16"/>
                <w:szCs w:val="16"/>
              </w:rPr>
              <w:t xml:space="preserve">Full restoration </w:t>
            </w:r>
            <w:r w:rsidR="002F08F5" w:rsidRPr="0034477B">
              <w:rPr>
                <w:sz w:val="16"/>
                <w:szCs w:val="16"/>
              </w:rPr>
              <w:t xml:space="preserve">of backups </w:t>
            </w:r>
            <w:r w:rsidRPr="0034477B">
              <w:rPr>
                <w:sz w:val="16"/>
                <w:szCs w:val="16"/>
              </w:rPr>
              <w:t>is tested at least once when initially implemented and each time fundamental information technology infrastructure changes occur.</w:t>
            </w:r>
          </w:p>
          <w:p w14:paraId="1534320D" w14:textId="0FB78475" w:rsidR="00242B05" w:rsidRPr="0034477B" w:rsidRDefault="00242B05" w:rsidP="0034477B">
            <w:pPr>
              <w:pStyle w:val="TableText"/>
              <w:rPr>
                <w:sz w:val="16"/>
                <w:szCs w:val="16"/>
              </w:rPr>
            </w:pPr>
            <w:r w:rsidRPr="0034477B">
              <w:rPr>
                <w:sz w:val="16"/>
                <w:szCs w:val="16"/>
              </w:rPr>
              <w:t xml:space="preserve">Partial restoration </w:t>
            </w:r>
            <w:r w:rsidR="002F08F5" w:rsidRPr="0034477B">
              <w:rPr>
                <w:sz w:val="16"/>
                <w:szCs w:val="16"/>
              </w:rPr>
              <w:t xml:space="preserve">of backups </w:t>
            </w:r>
            <w:r w:rsidRPr="0034477B">
              <w:rPr>
                <w:sz w:val="16"/>
                <w:szCs w:val="16"/>
              </w:rPr>
              <w:t>is tested on a</w:t>
            </w:r>
            <w:r w:rsidR="00F45A59" w:rsidRPr="0034477B">
              <w:rPr>
                <w:sz w:val="16"/>
                <w:szCs w:val="16"/>
              </w:rPr>
              <w:t xml:space="preserve"> quarterly</w:t>
            </w:r>
            <w:r w:rsidRPr="0034477B">
              <w:rPr>
                <w:sz w:val="16"/>
                <w:szCs w:val="16"/>
              </w:rPr>
              <w:t xml:space="preserve"> or more frequent basis.</w:t>
            </w:r>
          </w:p>
          <w:p w14:paraId="725953FE" w14:textId="6B320C99" w:rsidR="00A115C6" w:rsidRPr="0034477B" w:rsidRDefault="00A115C6" w:rsidP="0034477B">
            <w:pPr>
              <w:pStyle w:val="TableText"/>
              <w:rPr>
                <w:sz w:val="16"/>
                <w:szCs w:val="16"/>
              </w:rPr>
            </w:pPr>
          </w:p>
        </w:tc>
      </w:tr>
    </w:tbl>
    <w:p w14:paraId="382A2C8C" w14:textId="77777777" w:rsidR="007B7A7E" w:rsidRPr="009772FA" w:rsidRDefault="007B7A7E" w:rsidP="00E53520">
      <w:pPr>
        <w:pStyle w:val="BodyText"/>
        <w:rPr>
          <w:sz w:val="2"/>
          <w:szCs w:val="2"/>
        </w:rPr>
      </w:pPr>
    </w:p>
    <w:sectPr w:rsidR="007B7A7E" w:rsidRPr="009772FA" w:rsidSect="003F06E4">
      <w:headerReference w:type="default" r:id="rId15"/>
      <w:footerReference w:type="default" r:id="rId16"/>
      <w:headerReference w:type="first" r:id="rId17"/>
      <w:footerReference w:type="first" r:id="rId18"/>
      <w:pgSz w:w="23811" w:h="16838" w:orient="landscape" w:code="8"/>
      <w:pgMar w:top="1247" w:right="1021" w:bottom="1247" w:left="1021" w:header="851"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EAE3" w14:textId="77777777" w:rsidR="001E4B9C" w:rsidRDefault="001E4B9C" w:rsidP="0089728C">
      <w:pPr>
        <w:spacing w:after="0"/>
      </w:pPr>
      <w:r>
        <w:separator/>
      </w:r>
    </w:p>
  </w:endnote>
  <w:endnote w:type="continuationSeparator" w:id="0">
    <w:p w14:paraId="70DE669B" w14:textId="77777777" w:rsidR="001E4B9C" w:rsidRDefault="001E4B9C" w:rsidP="00897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3274923"/>
      <w:docPartObj>
        <w:docPartGallery w:val="Page Numbers (Bottom of Page)"/>
        <w:docPartUnique/>
      </w:docPartObj>
    </w:sdtPr>
    <w:sdtEndPr>
      <w:rPr>
        <w:rStyle w:val="PageNumber"/>
      </w:rPr>
    </w:sdtEndPr>
    <w:sdtContent>
      <w:p w14:paraId="27F23E5D" w14:textId="77777777" w:rsidR="00B84860" w:rsidRDefault="00B84860" w:rsidP="00650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F2FB5" w14:textId="77777777" w:rsidR="00B84860" w:rsidRDefault="00B84860" w:rsidP="001522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2645436"/>
      <w:docPartObj>
        <w:docPartGallery w:val="Page Numbers (Bottom of Page)"/>
        <w:docPartUnique/>
      </w:docPartObj>
    </w:sdtPr>
    <w:sdtEndPr>
      <w:rPr>
        <w:rStyle w:val="PageNumber"/>
      </w:rPr>
    </w:sdtEndPr>
    <w:sdtContent>
      <w:p w14:paraId="1416FC14" w14:textId="57BACFDC" w:rsidR="00B84860" w:rsidRDefault="00B84860" w:rsidP="00650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2B5F">
          <w:rPr>
            <w:rStyle w:val="PageNumber"/>
            <w:noProof/>
          </w:rPr>
          <w:t>2</w:t>
        </w:r>
        <w:r>
          <w:rPr>
            <w:rStyle w:val="PageNumber"/>
          </w:rPr>
          <w:fldChar w:fldCharType="end"/>
        </w:r>
      </w:p>
    </w:sdtContent>
  </w:sdt>
  <w:p w14:paraId="50D15359" w14:textId="77777777" w:rsidR="00B84860" w:rsidRDefault="00B84860" w:rsidP="001522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5449" w14:textId="77777777" w:rsidR="00B84860" w:rsidRDefault="00B84860">
    <w:pPr>
      <w:pStyle w:val="Footer"/>
    </w:pPr>
    <w:r>
      <w:rPr>
        <w:noProof/>
        <w:lang w:eastAsia="en-AU"/>
      </w:rPr>
      <w:drawing>
        <wp:anchor distT="0" distB="0" distL="114300" distR="114300" simplePos="0" relativeHeight="251668480" behindDoc="1" locked="0" layoutInCell="1" allowOverlap="1" wp14:anchorId="08BF5976" wp14:editId="2FD7BC5D">
          <wp:simplePos x="0" y="0"/>
          <wp:positionH relativeFrom="page">
            <wp:align>center</wp:align>
          </wp:positionH>
          <wp:positionV relativeFrom="page">
            <wp:align>bottom</wp:align>
          </wp:positionV>
          <wp:extent cx="7560000" cy="7056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49-ACSC-Factsheet-Newsletter-Footer.gif"/>
                  <pic:cNvPicPr/>
                </pic:nvPicPr>
                <pic:blipFill>
                  <a:blip r:embed="rId1"/>
                  <a:stretch>
                    <a:fillRect/>
                  </a:stretch>
                </pic:blipFill>
                <pic:spPr>
                  <a:xfrm>
                    <a:off x="0" y="0"/>
                    <a:ext cx="7560000" cy="70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2852003"/>
      <w:docPartObj>
        <w:docPartGallery w:val="Page Numbers (Bottom of Page)"/>
        <w:docPartUnique/>
      </w:docPartObj>
    </w:sdtPr>
    <w:sdtEndPr>
      <w:rPr>
        <w:rStyle w:val="PageNumber"/>
      </w:rPr>
    </w:sdtEndPr>
    <w:sdtContent>
      <w:p w14:paraId="3AB2E537" w14:textId="22441ECA" w:rsidR="00B84860" w:rsidRDefault="00B84860" w:rsidP="00650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477B">
          <w:rPr>
            <w:rStyle w:val="PageNumber"/>
            <w:noProof/>
          </w:rPr>
          <w:t>3</w:t>
        </w:r>
        <w:r>
          <w:rPr>
            <w:rStyle w:val="PageNumber"/>
          </w:rPr>
          <w:fldChar w:fldCharType="end"/>
        </w:r>
      </w:p>
    </w:sdtContent>
  </w:sdt>
  <w:p w14:paraId="7C1036D5" w14:textId="77777777" w:rsidR="00B84860" w:rsidRDefault="00B84860" w:rsidP="00152217">
    <w:pPr>
      <w:pStyle w:val="Footer"/>
      <w:ind w:right="360"/>
    </w:pPr>
    <w:r>
      <w:rPr>
        <w:noProof/>
        <w:lang w:eastAsia="en-AU"/>
      </w:rPr>
      <w:drawing>
        <wp:anchor distT="0" distB="0" distL="114300" distR="114300" simplePos="0" relativeHeight="251672576" behindDoc="1" locked="0" layoutInCell="1" allowOverlap="1" wp14:anchorId="026213FB" wp14:editId="07A52FA5">
          <wp:simplePos x="0" y="0"/>
          <wp:positionH relativeFrom="page">
            <wp:align>right</wp:align>
          </wp:positionH>
          <wp:positionV relativeFrom="paragraph">
            <wp:posOffset>-168275</wp:posOffset>
          </wp:positionV>
          <wp:extent cx="15112800" cy="705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28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9028186"/>
      <w:docPartObj>
        <w:docPartGallery w:val="Page Numbers (Bottom of Page)"/>
        <w:docPartUnique/>
      </w:docPartObj>
    </w:sdtPr>
    <w:sdtEndPr>
      <w:rPr>
        <w:rStyle w:val="PageNumber"/>
      </w:rPr>
    </w:sdtEndPr>
    <w:sdtContent>
      <w:p w14:paraId="4FEF2B5D" w14:textId="1E678F2B" w:rsidR="00D000DE" w:rsidRDefault="00D000DE" w:rsidP="00D000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2B5F">
          <w:rPr>
            <w:rStyle w:val="PageNumber"/>
            <w:noProof/>
          </w:rPr>
          <w:t>2</w:t>
        </w:r>
        <w:r>
          <w:rPr>
            <w:rStyle w:val="PageNumber"/>
          </w:rPr>
          <w:fldChar w:fldCharType="end"/>
        </w:r>
      </w:p>
    </w:sdtContent>
  </w:sdt>
  <w:p w14:paraId="255F7E48" w14:textId="77777777" w:rsidR="00D000DE" w:rsidRDefault="00D000DE">
    <w:pPr>
      <w:pStyle w:val="Footer"/>
    </w:pPr>
    <w:r>
      <w:rPr>
        <w:noProof/>
        <w:lang w:eastAsia="en-AU"/>
      </w:rPr>
      <w:drawing>
        <wp:anchor distT="0" distB="0" distL="114300" distR="114300" simplePos="0" relativeHeight="251663360" behindDoc="1" locked="0" layoutInCell="1" allowOverlap="1" wp14:anchorId="7EBAF07D" wp14:editId="64A8D56F">
          <wp:simplePos x="0" y="0"/>
          <wp:positionH relativeFrom="page">
            <wp:align>right</wp:align>
          </wp:positionH>
          <wp:positionV relativeFrom="paragraph">
            <wp:posOffset>-168275</wp:posOffset>
          </wp:positionV>
          <wp:extent cx="15112800" cy="70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28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90C7" w14:textId="77777777" w:rsidR="001E4B9C" w:rsidRDefault="001E4B9C" w:rsidP="0089728C">
      <w:pPr>
        <w:spacing w:after="0"/>
      </w:pPr>
      <w:r>
        <w:separator/>
      </w:r>
    </w:p>
  </w:footnote>
  <w:footnote w:type="continuationSeparator" w:id="0">
    <w:p w14:paraId="0C79784D" w14:textId="77777777" w:rsidR="001E4B9C" w:rsidRDefault="001E4B9C" w:rsidP="008972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5FEC" w14:textId="77777777" w:rsidR="00B84860" w:rsidRDefault="00B84860">
    <w:pPr>
      <w:pStyle w:val="Header"/>
    </w:pPr>
    <w:r>
      <w:rPr>
        <w:noProof/>
        <w:lang w:eastAsia="en-AU"/>
      </w:rPr>
      <w:drawing>
        <wp:anchor distT="0" distB="0" distL="114300" distR="114300" simplePos="0" relativeHeight="251665408" behindDoc="0" locked="1" layoutInCell="1" allowOverlap="0" wp14:anchorId="0FCDD154" wp14:editId="65E43AF6">
          <wp:simplePos x="0" y="0"/>
          <wp:positionH relativeFrom="page">
            <wp:posOffset>0</wp:posOffset>
          </wp:positionH>
          <wp:positionV relativeFrom="page">
            <wp:posOffset>0</wp:posOffset>
          </wp:positionV>
          <wp:extent cx="7556400" cy="19296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C-A4-brief-header.gif"/>
                  <pic:cNvPicPr/>
                </pic:nvPicPr>
                <pic:blipFill>
                  <a:blip r:embed="rId1"/>
                  <a:stretch>
                    <a:fillRect/>
                  </a:stretch>
                </pic:blipFill>
                <pic:spPr>
                  <a:xfrm>
                    <a:off x="0" y="0"/>
                    <a:ext cx="7556400" cy="19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D5FC" w14:textId="77777777" w:rsidR="00B84860" w:rsidRDefault="00B84860">
    <w:pPr>
      <w:pStyle w:val="Header"/>
    </w:pPr>
    <w:r>
      <w:rPr>
        <w:noProof/>
        <w:lang w:eastAsia="en-AU"/>
      </w:rPr>
      <w:drawing>
        <wp:anchor distT="0" distB="0" distL="114300" distR="114300" simplePos="0" relativeHeight="251667456" behindDoc="1" locked="0" layoutInCell="1" allowOverlap="1" wp14:anchorId="7FB6D916" wp14:editId="24B32C83">
          <wp:simplePos x="0" y="0"/>
          <wp:positionH relativeFrom="page">
            <wp:posOffset>6350</wp:posOffset>
          </wp:positionH>
          <wp:positionV relativeFrom="page">
            <wp:posOffset>0</wp:posOffset>
          </wp:positionV>
          <wp:extent cx="7546340" cy="34747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SC-A4-report-cover.gif"/>
                  <pic:cNvPicPr/>
                </pic:nvPicPr>
                <pic:blipFill>
                  <a:blip r:embed="rId1"/>
                  <a:stretch>
                    <a:fillRect/>
                  </a:stretch>
                </pic:blipFill>
                <pic:spPr>
                  <a:xfrm>
                    <a:off x="0" y="0"/>
                    <a:ext cx="7546340" cy="3474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F35A" w14:textId="77777777" w:rsidR="00B84860" w:rsidRDefault="00B848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7E26" w14:textId="77777777" w:rsidR="00D000DE" w:rsidRDefault="00D000DE">
    <w:pPr>
      <w:pStyle w:val="Header"/>
    </w:pPr>
    <w:r>
      <w:rPr>
        <w:noProof/>
        <w:lang w:eastAsia="en-AU"/>
      </w:rPr>
      <w:drawing>
        <wp:anchor distT="0" distB="0" distL="114300" distR="114300" simplePos="0" relativeHeight="251662336" behindDoc="1" locked="0" layoutInCell="1" allowOverlap="1" wp14:anchorId="67218DE8" wp14:editId="0D4DDA43">
          <wp:simplePos x="0" y="0"/>
          <wp:positionH relativeFrom="page">
            <wp:align>right</wp:align>
          </wp:positionH>
          <wp:positionV relativeFrom="paragraph">
            <wp:posOffset>-540385</wp:posOffset>
          </wp:positionV>
          <wp:extent cx="15112800" cy="192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2800" cy="192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5F7"/>
    <w:multiLevelType w:val="hybridMultilevel"/>
    <w:tmpl w:val="53F8E8FA"/>
    <w:lvl w:ilvl="0" w:tplc="786431D6">
      <w:start w:val="1"/>
      <w:numFmt w:val="bullet"/>
      <w:lvlText w:val=""/>
      <w:lvlJc w:val="left"/>
      <w:pPr>
        <w:ind w:left="794"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0E7F"/>
    <w:multiLevelType w:val="multilevel"/>
    <w:tmpl w:val="A73ADF0E"/>
    <w:styleLink w:val="TableNumbers"/>
    <w:lvl w:ilvl="0">
      <w:start w:val="1"/>
      <w:numFmt w:val="decimal"/>
      <w:pStyle w:val="TableNumbers1"/>
      <w:lvlText w:val="%1."/>
      <w:lvlJc w:val="left"/>
      <w:pPr>
        <w:ind w:left="360" w:hanging="360"/>
      </w:pPr>
      <w:rPr>
        <w:rFonts w:hint="default"/>
        <w:b/>
        <w:i w:val="0"/>
      </w:rPr>
    </w:lvl>
    <w:lvl w:ilvl="1">
      <w:start w:val="1"/>
      <w:numFmt w:val="lowerLetter"/>
      <w:lvlText w:val="(%2)"/>
      <w:lvlJc w:val="left"/>
      <w:pPr>
        <w:ind w:left="794"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343D0C"/>
    <w:multiLevelType w:val="hybridMultilevel"/>
    <w:tmpl w:val="903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6CC"/>
    <w:multiLevelType w:val="multilevel"/>
    <w:tmpl w:val="37DC3E3E"/>
    <w:styleLink w:val="ACSC-Paras-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4" w15:restartNumberingAfterBreak="0">
    <w:nsid w:val="2217741F"/>
    <w:multiLevelType w:val="multilevel"/>
    <w:tmpl w:val="FB5EDE4A"/>
    <w:styleLink w:val="Numbers"/>
    <w:lvl w:ilvl="0">
      <w:start w:val="1"/>
      <w:numFmt w:val="decimal"/>
      <w:pStyle w:val="Numbers1"/>
      <w:lvlText w:val="%1."/>
      <w:lvlJc w:val="left"/>
      <w:pPr>
        <w:ind w:left="340" w:hanging="227"/>
      </w:pPr>
      <w:rPr>
        <w:rFonts w:hint="default"/>
        <w:b/>
        <w:i w:val="0"/>
      </w:rPr>
    </w:lvl>
    <w:lvl w:ilvl="1">
      <w:start w:val="1"/>
      <w:numFmt w:val="lowerLetter"/>
      <w:lvlText w:val="(%2)"/>
      <w:lvlJc w:val="left"/>
      <w:pPr>
        <w:ind w:left="794"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68A07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425E6081"/>
    <w:multiLevelType w:val="multilevel"/>
    <w:tmpl w:val="0DAA6E8A"/>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247" w:hanging="340"/>
      </w:pPr>
      <w:rPr>
        <w:rFonts w:ascii="Symbol" w:hAnsi="Symbol" w:hint="default"/>
        <w:color w:val="F58146"/>
      </w:rPr>
    </w:lvl>
    <w:lvl w:ilvl="4">
      <w:start w:val="1"/>
      <w:numFmt w:val="bullet"/>
      <w:lvlText w:val=""/>
      <w:lvlJc w:val="left"/>
      <w:pPr>
        <w:ind w:left="1474" w:hanging="340"/>
      </w:pPr>
      <w:rPr>
        <w:rFonts w:ascii="Wingdings" w:hAnsi="Wingdings" w:hint="default"/>
        <w:color w:val="E04964"/>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3944A01"/>
    <w:multiLevelType w:val="multilevel"/>
    <w:tmpl w:val="53F8E8FA"/>
    <w:lvl w:ilvl="0">
      <w:start w:val="1"/>
      <w:numFmt w:val="bullet"/>
      <w:lvlText w:val=""/>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11445C"/>
    <w:multiLevelType w:val="multilevel"/>
    <w:tmpl w:val="0C09001D"/>
    <w:styleLink w:val="ACSC-Bibliography-Lis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1551AE"/>
    <w:multiLevelType w:val="hybridMultilevel"/>
    <w:tmpl w:val="8CBE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91491"/>
    <w:multiLevelType w:val="hybridMultilevel"/>
    <w:tmpl w:val="797AB1BA"/>
    <w:lvl w:ilvl="0" w:tplc="B9766958">
      <w:start w:val="1"/>
      <w:numFmt w:val="bullet"/>
      <w:lvlText w:val="—"/>
      <w:lvlJc w:val="left"/>
      <w:pPr>
        <w:ind w:left="1021" w:hanging="341"/>
      </w:pPr>
      <w:rPr>
        <w:rFonts w:asciiTheme="minorHAnsi" w:hAnsiTheme="minorHAnsi" w:hint="default"/>
        <w:color w:val="80C58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B066E"/>
    <w:multiLevelType w:val="multilevel"/>
    <w:tmpl w:val="F5FEB046"/>
    <w:lvl w:ilvl="0">
      <w:start w:val="1"/>
      <w:numFmt w:val="bullet"/>
      <w:pStyle w:val="Bullets1"/>
      <w:lvlText w:val=""/>
      <w:lvlJc w:val="left"/>
      <w:pPr>
        <w:ind w:left="454" w:hanging="341"/>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247" w:hanging="340"/>
      </w:pPr>
      <w:rPr>
        <w:rFonts w:ascii="Symbol" w:hAnsi="Symbol" w:hint="default"/>
        <w:color w:val="F58146"/>
      </w:rPr>
    </w:lvl>
    <w:lvl w:ilvl="4">
      <w:start w:val="1"/>
      <w:numFmt w:val="bullet"/>
      <w:lvlText w:val=""/>
      <w:lvlJc w:val="left"/>
      <w:pPr>
        <w:ind w:left="1474" w:hanging="340"/>
      </w:pPr>
      <w:rPr>
        <w:rFonts w:ascii="Wingdings" w:hAnsi="Wingdings" w:hint="default"/>
        <w:color w:val="E04964"/>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60D252D"/>
    <w:multiLevelType w:val="hybridMultilevel"/>
    <w:tmpl w:val="4C26CD0A"/>
    <w:lvl w:ilvl="0" w:tplc="A94E98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3F7F3A"/>
    <w:multiLevelType w:val="hybridMultilevel"/>
    <w:tmpl w:val="2D3E3190"/>
    <w:lvl w:ilvl="0" w:tplc="CF1CF9FC">
      <w:start w:val="1"/>
      <w:numFmt w:val="bullet"/>
      <w:pStyle w:val="TableBullets1"/>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
  </w:num>
  <w:num w:numId="5">
    <w:abstractNumId w:val="5"/>
  </w:num>
  <w:num w:numId="6">
    <w:abstractNumId w:val="2"/>
  </w:num>
  <w:num w:numId="7">
    <w:abstractNumId w:val="11"/>
  </w:num>
  <w:num w:numId="8">
    <w:abstractNumId w:val="0"/>
  </w:num>
  <w:num w:numId="9">
    <w:abstractNumId w:val="9"/>
  </w:num>
  <w:num w:numId="10">
    <w:abstractNumId w:val="12"/>
  </w:num>
  <w:num w:numId="11">
    <w:abstractNumId w:val="13"/>
  </w:num>
  <w:num w:numId="12">
    <w:abstractNumId w:val="8"/>
  </w:num>
  <w:num w:numId="13">
    <w:abstractNumId w:val="6"/>
  </w:num>
  <w:num w:numId="14">
    <w:abstractNumId w:val="16"/>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17"/>
    <w:rsid w:val="00004233"/>
    <w:rsid w:val="00006847"/>
    <w:rsid w:val="00007DE9"/>
    <w:rsid w:val="00013C48"/>
    <w:rsid w:val="000142E9"/>
    <w:rsid w:val="00014487"/>
    <w:rsid w:val="00015AE4"/>
    <w:rsid w:val="00023B93"/>
    <w:rsid w:val="00024308"/>
    <w:rsid w:val="00041EA7"/>
    <w:rsid w:val="00052715"/>
    <w:rsid w:val="00092957"/>
    <w:rsid w:val="000A1D30"/>
    <w:rsid w:val="000B6C00"/>
    <w:rsid w:val="000F0DD8"/>
    <w:rsid w:val="000F0FE6"/>
    <w:rsid w:val="000F28B8"/>
    <w:rsid w:val="000F3766"/>
    <w:rsid w:val="001041D9"/>
    <w:rsid w:val="00111F0C"/>
    <w:rsid w:val="00131E91"/>
    <w:rsid w:val="00145E2D"/>
    <w:rsid w:val="00152217"/>
    <w:rsid w:val="00174D14"/>
    <w:rsid w:val="001763D4"/>
    <w:rsid w:val="001C43E1"/>
    <w:rsid w:val="001C53CE"/>
    <w:rsid w:val="001E4B9C"/>
    <w:rsid w:val="001E66CE"/>
    <w:rsid w:val="00211F03"/>
    <w:rsid w:val="00221DC2"/>
    <w:rsid w:val="00242B05"/>
    <w:rsid w:val="00250591"/>
    <w:rsid w:val="002573D5"/>
    <w:rsid w:val="00265DCB"/>
    <w:rsid w:val="002754A5"/>
    <w:rsid w:val="00282DA0"/>
    <w:rsid w:val="002A3341"/>
    <w:rsid w:val="002A41E1"/>
    <w:rsid w:val="002B28AA"/>
    <w:rsid w:val="002B6574"/>
    <w:rsid w:val="002E7A84"/>
    <w:rsid w:val="002F08F5"/>
    <w:rsid w:val="002F7D3C"/>
    <w:rsid w:val="003131AB"/>
    <w:rsid w:val="003217BE"/>
    <w:rsid w:val="00322020"/>
    <w:rsid w:val="00325403"/>
    <w:rsid w:val="00331638"/>
    <w:rsid w:val="0034477B"/>
    <w:rsid w:val="003611B2"/>
    <w:rsid w:val="003846A5"/>
    <w:rsid w:val="003851B2"/>
    <w:rsid w:val="003D3B1D"/>
    <w:rsid w:val="003D5DBE"/>
    <w:rsid w:val="003F06E4"/>
    <w:rsid w:val="003F1CA6"/>
    <w:rsid w:val="00404841"/>
    <w:rsid w:val="00412059"/>
    <w:rsid w:val="00417013"/>
    <w:rsid w:val="004263F5"/>
    <w:rsid w:val="00441E79"/>
    <w:rsid w:val="0044317A"/>
    <w:rsid w:val="00451A26"/>
    <w:rsid w:val="00483A58"/>
    <w:rsid w:val="004B0E0D"/>
    <w:rsid w:val="004B71F8"/>
    <w:rsid w:val="004D7F17"/>
    <w:rsid w:val="004E7F37"/>
    <w:rsid w:val="005069F8"/>
    <w:rsid w:val="005108FE"/>
    <w:rsid w:val="0058188D"/>
    <w:rsid w:val="0058536A"/>
    <w:rsid w:val="005F01B3"/>
    <w:rsid w:val="00612C1C"/>
    <w:rsid w:val="00616EBA"/>
    <w:rsid w:val="00632C08"/>
    <w:rsid w:val="0064199B"/>
    <w:rsid w:val="006554E5"/>
    <w:rsid w:val="0067074A"/>
    <w:rsid w:val="00672994"/>
    <w:rsid w:val="00676E20"/>
    <w:rsid w:val="00676F06"/>
    <w:rsid w:val="00697072"/>
    <w:rsid w:val="006C15C5"/>
    <w:rsid w:val="007156EF"/>
    <w:rsid w:val="00715C9C"/>
    <w:rsid w:val="00736A76"/>
    <w:rsid w:val="00740DEB"/>
    <w:rsid w:val="00752C6B"/>
    <w:rsid w:val="00763D8B"/>
    <w:rsid w:val="00775B4C"/>
    <w:rsid w:val="007A0D1D"/>
    <w:rsid w:val="007A40B3"/>
    <w:rsid w:val="007B48AD"/>
    <w:rsid w:val="007B7A7E"/>
    <w:rsid w:val="007D4FE2"/>
    <w:rsid w:val="00801123"/>
    <w:rsid w:val="00803763"/>
    <w:rsid w:val="00820F20"/>
    <w:rsid w:val="00824517"/>
    <w:rsid w:val="00825754"/>
    <w:rsid w:val="008258B2"/>
    <w:rsid w:val="00827FFB"/>
    <w:rsid w:val="008303C3"/>
    <w:rsid w:val="00844C2D"/>
    <w:rsid w:val="00844C87"/>
    <w:rsid w:val="0089728C"/>
    <w:rsid w:val="008C11A6"/>
    <w:rsid w:val="008D77C3"/>
    <w:rsid w:val="008F4514"/>
    <w:rsid w:val="009028C7"/>
    <w:rsid w:val="009345F1"/>
    <w:rsid w:val="00946B13"/>
    <w:rsid w:val="00961072"/>
    <w:rsid w:val="00976C5D"/>
    <w:rsid w:val="009772FA"/>
    <w:rsid w:val="009A6E01"/>
    <w:rsid w:val="009B43F6"/>
    <w:rsid w:val="009D6F08"/>
    <w:rsid w:val="009E6A87"/>
    <w:rsid w:val="009E750F"/>
    <w:rsid w:val="009F0CB2"/>
    <w:rsid w:val="009F3DCD"/>
    <w:rsid w:val="00A04D96"/>
    <w:rsid w:val="00A0629B"/>
    <w:rsid w:val="00A115C6"/>
    <w:rsid w:val="00A11810"/>
    <w:rsid w:val="00A3533A"/>
    <w:rsid w:val="00A52E3A"/>
    <w:rsid w:val="00A64545"/>
    <w:rsid w:val="00A77832"/>
    <w:rsid w:val="00A82B5F"/>
    <w:rsid w:val="00A90D1B"/>
    <w:rsid w:val="00AB5A44"/>
    <w:rsid w:val="00AC5EB3"/>
    <w:rsid w:val="00AD6E38"/>
    <w:rsid w:val="00B029D9"/>
    <w:rsid w:val="00B14BB0"/>
    <w:rsid w:val="00B3018C"/>
    <w:rsid w:val="00B336C4"/>
    <w:rsid w:val="00B363D4"/>
    <w:rsid w:val="00B51126"/>
    <w:rsid w:val="00B54D18"/>
    <w:rsid w:val="00B61DB2"/>
    <w:rsid w:val="00B84860"/>
    <w:rsid w:val="00BA5FA4"/>
    <w:rsid w:val="00BC093A"/>
    <w:rsid w:val="00BC4ACC"/>
    <w:rsid w:val="00BE75CD"/>
    <w:rsid w:val="00C217A8"/>
    <w:rsid w:val="00C24A74"/>
    <w:rsid w:val="00C31706"/>
    <w:rsid w:val="00C337DF"/>
    <w:rsid w:val="00C55AE6"/>
    <w:rsid w:val="00C64385"/>
    <w:rsid w:val="00C748D2"/>
    <w:rsid w:val="00C81EEB"/>
    <w:rsid w:val="00CA3DFC"/>
    <w:rsid w:val="00CB3421"/>
    <w:rsid w:val="00CC076D"/>
    <w:rsid w:val="00CD5925"/>
    <w:rsid w:val="00CD7F13"/>
    <w:rsid w:val="00CE557A"/>
    <w:rsid w:val="00D000DE"/>
    <w:rsid w:val="00D1410C"/>
    <w:rsid w:val="00D50C7C"/>
    <w:rsid w:val="00D57F79"/>
    <w:rsid w:val="00D64FAC"/>
    <w:rsid w:val="00D702BD"/>
    <w:rsid w:val="00D77512"/>
    <w:rsid w:val="00D904F0"/>
    <w:rsid w:val="00D91378"/>
    <w:rsid w:val="00D96192"/>
    <w:rsid w:val="00DA08DA"/>
    <w:rsid w:val="00DB6119"/>
    <w:rsid w:val="00DB7BF6"/>
    <w:rsid w:val="00DD1408"/>
    <w:rsid w:val="00DD34F0"/>
    <w:rsid w:val="00DD356D"/>
    <w:rsid w:val="00DF0A91"/>
    <w:rsid w:val="00DF5887"/>
    <w:rsid w:val="00E24D7F"/>
    <w:rsid w:val="00E53520"/>
    <w:rsid w:val="00E62FCA"/>
    <w:rsid w:val="00E658FF"/>
    <w:rsid w:val="00E70993"/>
    <w:rsid w:val="00E84012"/>
    <w:rsid w:val="00EA0724"/>
    <w:rsid w:val="00EA6251"/>
    <w:rsid w:val="00EB455B"/>
    <w:rsid w:val="00EB6414"/>
    <w:rsid w:val="00EB78C4"/>
    <w:rsid w:val="00EE75C0"/>
    <w:rsid w:val="00EF3804"/>
    <w:rsid w:val="00F37C5F"/>
    <w:rsid w:val="00F45A59"/>
    <w:rsid w:val="00F46D71"/>
    <w:rsid w:val="00F5341C"/>
    <w:rsid w:val="00F7060C"/>
    <w:rsid w:val="00F9666C"/>
    <w:rsid w:val="00FA5A7B"/>
    <w:rsid w:val="00FB6037"/>
    <w:rsid w:val="00FE4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3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CA3DFC"/>
    <w:pPr>
      <w:spacing w:after="240"/>
    </w:pPr>
    <w:rPr>
      <w:rFonts w:ascii="Calibri" w:hAnsi="Calibri"/>
    </w:rPr>
  </w:style>
  <w:style w:type="paragraph" w:styleId="Heading1">
    <w:name w:val="heading 1"/>
    <w:next w:val="BodyText"/>
    <w:link w:val="Heading1Char"/>
    <w:uiPriority w:val="4"/>
    <w:qFormat/>
    <w:rsid w:val="00CA3DFC"/>
    <w:pPr>
      <w:keepNext/>
      <w:keepLines/>
      <w:spacing w:after="240"/>
      <w:outlineLvl w:val="0"/>
    </w:pPr>
    <w:rPr>
      <w:rFonts w:ascii="Calibri Light" w:eastAsiaTheme="majorEastAsia" w:hAnsi="Calibri Light" w:cs="Times New Roman (Headings CS)"/>
      <w:bCs/>
      <w:color w:val="001E45"/>
      <w:sz w:val="48"/>
      <w:szCs w:val="28"/>
    </w:rPr>
  </w:style>
  <w:style w:type="paragraph" w:styleId="Heading2">
    <w:name w:val="heading 2"/>
    <w:next w:val="BodyText"/>
    <w:link w:val="Heading2Char"/>
    <w:uiPriority w:val="4"/>
    <w:qFormat/>
    <w:rsid w:val="00CA3DFC"/>
    <w:pPr>
      <w:keepNext/>
      <w:keepLines/>
      <w:spacing w:after="240"/>
      <w:outlineLvl w:val="1"/>
    </w:pPr>
    <w:rPr>
      <w:rFonts w:ascii="Calibri" w:eastAsiaTheme="majorEastAsia" w:hAnsi="Calibri" w:cs="Times New Roman (Headings CS)"/>
      <w:b/>
      <w:bCs/>
      <w:color w:val="00B5D1"/>
      <w:sz w:val="30"/>
      <w:szCs w:val="26"/>
    </w:rPr>
  </w:style>
  <w:style w:type="paragraph" w:styleId="Heading3">
    <w:name w:val="heading 3"/>
    <w:next w:val="BodyText"/>
    <w:link w:val="Heading3Char"/>
    <w:uiPriority w:val="4"/>
    <w:qFormat/>
    <w:rsid w:val="00CA3DFC"/>
    <w:pPr>
      <w:keepNext/>
      <w:keepLines/>
      <w:spacing w:after="240"/>
      <w:outlineLvl w:val="2"/>
    </w:pPr>
    <w:rPr>
      <w:rFonts w:asciiTheme="minorHAnsi" w:eastAsiaTheme="majorEastAsia" w:hAnsiTheme="minorHAnsi" w:cs="Times New Roman (Headings CS)"/>
      <w:b/>
      <w:bCs/>
      <w:sz w:val="24"/>
    </w:rPr>
  </w:style>
  <w:style w:type="paragraph" w:styleId="Heading4">
    <w:name w:val="heading 4"/>
    <w:basedOn w:val="Heading3"/>
    <w:next w:val="BodyText"/>
    <w:link w:val="Heading4Char"/>
    <w:uiPriority w:val="4"/>
    <w:qFormat/>
    <w:rsid w:val="00CA3DFC"/>
    <w:pPr>
      <w:outlineLvl w:val="3"/>
    </w:pPr>
    <w:rPr>
      <w:b w:val="0"/>
      <w:bCs w:val="0"/>
      <w:i/>
      <w:iCs/>
    </w:rPr>
  </w:style>
  <w:style w:type="paragraph" w:styleId="Heading5">
    <w:name w:val="heading 5"/>
    <w:basedOn w:val="Heading4"/>
    <w:next w:val="BodyText"/>
    <w:link w:val="Heading5Char"/>
    <w:uiPriority w:val="4"/>
    <w:qFormat/>
    <w:rsid w:val="00CA3DFC"/>
    <w:pPr>
      <w:outlineLvl w:val="4"/>
    </w:pPr>
    <w:rPr>
      <w:sz w:val="20"/>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rsid w:val="00282DA0"/>
    <w:rPr>
      <w:rFonts w:asciiTheme="minorHAnsi" w:hAnsiTheme="minorHAnsi"/>
    </w:rPr>
    <w:tblPr>
      <w:tblBorders>
        <w:insideH w:val="single" w:sz="4" w:space="0" w:color="D9D9D9" w:themeColor="background1" w:themeShade="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character" w:customStyle="1" w:styleId="Heading1Char">
    <w:name w:val="Heading 1 Char"/>
    <w:basedOn w:val="DefaultParagraphFont"/>
    <w:link w:val="Heading1"/>
    <w:uiPriority w:val="4"/>
    <w:rsid w:val="00CA3DFC"/>
    <w:rPr>
      <w:rFonts w:ascii="Calibri Light" w:eastAsiaTheme="majorEastAsia" w:hAnsi="Calibri Light" w:cs="Times New Roman (Headings CS)"/>
      <w:bCs/>
      <w:color w:val="001E45"/>
      <w:sz w:val="48"/>
      <w:szCs w:val="28"/>
    </w:rPr>
  </w:style>
  <w:style w:type="paragraph" w:styleId="Footer">
    <w:name w:val="footer"/>
    <w:link w:val="FooterChar"/>
    <w:uiPriority w:val="98"/>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8"/>
    <w:rsid w:val="00A52E3A"/>
    <w:rPr>
      <w:rFonts w:asciiTheme="minorHAnsi" w:hAnsiTheme="minorHAnsi"/>
    </w:rPr>
  </w:style>
  <w:style w:type="paragraph" w:styleId="Header">
    <w:name w:val="header"/>
    <w:link w:val="HeaderChar"/>
    <w:uiPriority w:val="98"/>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8"/>
    <w:rsid w:val="00A52E3A"/>
    <w:rPr>
      <w:rFonts w:asciiTheme="minorHAnsi" w:hAnsiTheme="minorHAnsi"/>
    </w:rPr>
  </w:style>
  <w:style w:type="character" w:customStyle="1" w:styleId="Heading2Char">
    <w:name w:val="Heading 2 Char"/>
    <w:basedOn w:val="DefaultParagraphFont"/>
    <w:link w:val="Heading2"/>
    <w:uiPriority w:val="4"/>
    <w:rsid w:val="00CA3DFC"/>
    <w:rPr>
      <w:rFonts w:ascii="Calibri" w:eastAsiaTheme="majorEastAsia" w:hAnsi="Calibri" w:cs="Times New Roman (Headings CS)"/>
      <w:b/>
      <w:bCs/>
      <w:color w:val="00B5D1"/>
      <w:sz w:val="30"/>
      <w:szCs w:val="26"/>
    </w:rPr>
  </w:style>
  <w:style w:type="paragraph" w:styleId="BodyText">
    <w:name w:val="Body Text"/>
    <w:link w:val="BodyTextChar"/>
    <w:qFormat/>
    <w:rsid w:val="00EA0724"/>
    <w:pPr>
      <w:spacing w:after="120"/>
    </w:pPr>
    <w:rPr>
      <w:rFonts w:asciiTheme="minorHAnsi" w:hAnsiTheme="minorHAnsi"/>
    </w:rPr>
  </w:style>
  <w:style w:type="character" w:customStyle="1" w:styleId="BodyTextChar">
    <w:name w:val="Body Text Char"/>
    <w:basedOn w:val="DefaultParagraphFont"/>
    <w:link w:val="BodyText"/>
    <w:rsid w:val="002F7D3C"/>
    <w:rPr>
      <w:rFonts w:asciiTheme="minorHAnsi" w:hAnsiTheme="minorHAnsi"/>
    </w:rPr>
  </w:style>
  <w:style w:type="character" w:customStyle="1" w:styleId="Heading3Char">
    <w:name w:val="Heading 3 Char"/>
    <w:basedOn w:val="DefaultParagraphFont"/>
    <w:link w:val="Heading3"/>
    <w:uiPriority w:val="4"/>
    <w:rsid w:val="00CA3DFC"/>
    <w:rPr>
      <w:rFonts w:asciiTheme="minorHAnsi" w:eastAsiaTheme="majorEastAsia" w:hAnsiTheme="minorHAnsi" w:cs="Times New Roman (Headings CS)"/>
      <w:b/>
      <w:bCs/>
      <w:sz w:val="24"/>
    </w:rPr>
  </w:style>
  <w:style w:type="character" w:customStyle="1" w:styleId="Heading4Char">
    <w:name w:val="Heading 4 Char"/>
    <w:basedOn w:val="DefaultParagraphFont"/>
    <w:link w:val="Heading4"/>
    <w:uiPriority w:val="4"/>
    <w:rsid w:val="00CA3DFC"/>
    <w:rPr>
      <w:rFonts w:asciiTheme="minorHAnsi" w:eastAsiaTheme="majorEastAsia" w:hAnsiTheme="minorHAnsi" w:cs="Times New Roman (Headings CS)"/>
      <w:i/>
      <w:iCs/>
      <w:sz w:val="24"/>
    </w:rPr>
  </w:style>
  <w:style w:type="paragraph" w:styleId="Subtitle">
    <w:name w:val="Subtitle"/>
    <w:link w:val="SubtitleChar"/>
    <w:uiPriority w:val="37"/>
    <w:rsid w:val="008C11A6"/>
    <w:pPr>
      <w:numPr>
        <w:ilvl w:val="1"/>
      </w:numPr>
    </w:pPr>
    <w:rPr>
      <w:rFonts w:ascii="Calibri Light" w:eastAsiaTheme="majorEastAsia" w:hAnsi="Calibri Light" w:cs="Times New Roman (Headings CS)"/>
      <w:iCs/>
      <w:color w:val="001E45"/>
      <w:sz w:val="30"/>
      <w:szCs w:val="24"/>
    </w:rPr>
  </w:style>
  <w:style w:type="character" w:customStyle="1" w:styleId="SubtitleChar">
    <w:name w:val="Subtitle Char"/>
    <w:basedOn w:val="DefaultParagraphFont"/>
    <w:link w:val="Subtitle"/>
    <w:uiPriority w:val="37"/>
    <w:rsid w:val="008C11A6"/>
    <w:rPr>
      <w:rFonts w:ascii="Calibri Light" w:eastAsiaTheme="majorEastAsia" w:hAnsi="Calibri Light" w:cs="Times New Roman (Headings CS)"/>
      <w:iCs/>
      <w:color w:val="001E45"/>
      <w:sz w:val="30"/>
      <w:szCs w:val="24"/>
    </w:rPr>
  </w:style>
  <w:style w:type="paragraph" w:styleId="Title">
    <w:name w:val="Title"/>
    <w:link w:val="TitleChar"/>
    <w:uiPriority w:val="36"/>
    <w:rsid w:val="00265DCB"/>
    <w:pPr>
      <w:spacing w:after="300"/>
      <w:contextualSpacing/>
    </w:pPr>
    <w:rPr>
      <w:rFonts w:ascii="Calibri Light" w:eastAsiaTheme="majorEastAsia" w:hAnsi="Calibri Light" w:cs="Times New Roman (Headings CS)"/>
      <w:b/>
      <w:color w:val="001E45"/>
      <w:kern w:val="28"/>
      <w:sz w:val="56"/>
      <w:szCs w:val="52"/>
    </w:rPr>
  </w:style>
  <w:style w:type="character" w:customStyle="1" w:styleId="TitleChar">
    <w:name w:val="Title Char"/>
    <w:basedOn w:val="DefaultParagraphFont"/>
    <w:link w:val="Title"/>
    <w:uiPriority w:val="36"/>
    <w:rsid w:val="00265DCB"/>
    <w:rPr>
      <w:rFonts w:ascii="Calibri Light" w:eastAsiaTheme="majorEastAsia" w:hAnsi="Calibri Light" w:cs="Times New Roman (Headings CS)"/>
      <w:b/>
      <w:color w:val="001E45"/>
      <w:kern w:val="28"/>
      <w:sz w:val="56"/>
      <w:szCs w:val="52"/>
    </w:rPr>
  </w:style>
  <w:style w:type="paragraph" w:styleId="Caption">
    <w:name w:val="caption"/>
    <w:next w:val="BodyText"/>
    <w:uiPriority w:val="14"/>
    <w:qFormat/>
    <w:rsid w:val="00EA0724"/>
    <w:pPr>
      <w:spacing w:after="200"/>
    </w:pPr>
    <w:rPr>
      <w:rFonts w:asciiTheme="minorHAnsi" w:hAnsiTheme="minorHAnsi"/>
      <w:b/>
      <w:bCs/>
      <w:color w:val="4F81BD" w:themeColor="accent1"/>
      <w:sz w:val="18"/>
      <w:szCs w:val="18"/>
    </w:rPr>
  </w:style>
  <w:style w:type="paragraph" w:styleId="Date">
    <w:name w:val="Date"/>
    <w:link w:val="DateChar"/>
    <w:uiPriority w:val="38"/>
    <w:rsid w:val="00EA0724"/>
    <w:rPr>
      <w:rFonts w:asciiTheme="minorHAnsi" w:hAnsiTheme="minorHAnsi"/>
    </w:rPr>
  </w:style>
  <w:style w:type="character" w:customStyle="1" w:styleId="DateChar">
    <w:name w:val="Date Char"/>
    <w:basedOn w:val="DefaultParagraphFont"/>
    <w:link w:val="Date"/>
    <w:uiPriority w:val="38"/>
    <w:rsid w:val="002F7D3C"/>
    <w:rPr>
      <w:rFonts w:asciiTheme="minorHAnsi" w:hAnsiTheme="minorHAnsi"/>
    </w:rPr>
  </w:style>
  <w:style w:type="paragraph" w:styleId="EndnoteText">
    <w:name w:val="endnote text"/>
    <w:link w:val="EndnoteTextChar"/>
    <w:rsid w:val="00EA0724"/>
    <w:rPr>
      <w:rFonts w:asciiTheme="minorHAnsi" w:hAnsiTheme="minorHAnsi"/>
    </w:rPr>
  </w:style>
  <w:style w:type="character" w:customStyle="1" w:styleId="EndnoteTextChar">
    <w:name w:val="Endnote Text Char"/>
    <w:basedOn w:val="DefaultParagraphFont"/>
    <w:link w:val="EndnoteText"/>
    <w:rsid w:val="00A52E3A"/>
    <w:rPr>
      <w:rFonts w:asciiTheme="minorHAnsi" w:hAnsiTheme="minorHAnsi"/>
    </w:rPr>
  </w:style>
  <w:style w:type="paragraph" w:styleId="FootnoteText">
    <w:name w:val="footnote text"/>
    <w:link w:val="FootnoteTextChar"/>
    <w:rsid w:val="00EA0724"/>
    <w:rPr>
      <w:rFonts w:asciiTheme="minorHAnsi" w:hAnsiTheme="minorHAnsi"/>
    </w:rPr>
  </w:style>
  <w:style w:type="character" w:customStyle="1" w:styleId="FootnoteTextChar">
    <w:name w:val="Footnote Text Char"/>
    <w:basedOn w:val="DefaultParagraphFont"/>
    <w:link w:val="FootnoteText"/>
    <w:rsid w:val="00A52E3A"/>
    <w:rPr>
      <w:rFonts w:asciiTheme="minorHAnsi" w:hAnsiTheme="minorHAnsi"/>
    </w:rPr>
  </w:style>
  <w:style w:type="paragraph" w:styleId="Quote">
    <w:name w:val="Quote"/>
    <w:link w:val="QuoteChar"/>
    <w:uiPriority w:val="9"/>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rsid w:val="00D64FAC"/>
    <w:rPr>
      <w:rFonts w:asciiTheme="minorHAnsi" w:hAnsiTheme="minorHAnsi"/>
      <w:i/>
      <w:iCs/>
      <w:color w:val="000000" w:themeColor="text1"/>
    </w:rPr>
  </w:style>
  <w:style w:type="paragraph" w:styleId="TableofFigures">
    <w:name w:val="table of figures"/>
    <w:uiPriority w:val="39"/>
    <w:rsid w:val="00EA0724"/>
    <w:rPr>
      <w:rFonts w:asciiTheme="minorHAnsi" w:hAnsiTheme="minorHAnsi"/>
    </w:rPr>
  </w:style>
  <w:style w:type="paragraph" w:styleId="TOC1">
    <w:name w:val="toc 1"/>
    <w:uiPriority w:val="39"/>
    <w:rsid w:val="00282DA0"/>
    <w:pPr>
      <w:tabs>
        <w:tab w:val="right" w:pos="9356"/>
      </w:tabs>
      <w:spacing w:before="100" w:after="200"/>
    </w:pPr>
    <w:rPr>
      <w:rFonts w:asciiTheme="minorHAnsi" w:eastAsiaTheme="majorEastAsia" w:hAnsiTheme="minorHAnsi" w:cs="Times New Roman (Headings CS)"/>
      <w:b/>
      <w:bCs/>
      <w:color w:val="00B5D1"/>
      <w:sz w:val="30"/>
      <w:szCs w:val="26"/>
    </w:rPr>
  </w:style>
  <w:style w:type="paragraph" w:styleId="TOC2">
    <w:name w:val="toc 2"/>
    <w:uiPriority w:val="39"/>
    <w:rsid w:val="00282DA0"/>
    <w:pPr>
      <w:tabs>
        <w:tab w:val="right" w:pos="9356"/>
      </w:tabs>
      <w:spacing w:after="200"/>
    </w:pPr>
    <w:rPr>
      <w:rFonts w:asciiTheme="minorHAnsi" w:eastAsiaTheme="majorEastAsia" w:hAnsiTheme="minorHAnsi" w:cs="Times New Roman (Headings CS)"/>
      <w:b/>
      <w:bCs/>
      <w:sz w:val="24"/>
    </w:rPr>
  </w:style>
  <w:style w:type="paragraph" w:styleId="TOC3">
    <w:name w:val="toc 3"/>
    <w:uiPriority w:val="39"/>
    <w:rsid w:val="00282DA0"/>
    <w:pPr>
      <w:tabs>
        <w:tab w:val="right" w:pos="9356"/>
      </w:tabs>
      <w:spacing w:after="200"/>
      <w:ind w:left="397"/>
    </w:pPr>
    <w:rPr>
      <w:rFonts w:asciiTheme="minorHAnsi" w:hAnsiTheme="minorHAnsi"/>
    </w:rPr>
  </w:style>
  <w:style w:type="paragraph" w:styleId="TOCHeading">
    <w:name w:val="TOC Heading"/>
    <w:next w:val="BodyText"/>
    <w:uiPriority w:val="39"/>
    <w:rsid w:val="00282DA0"/>
    <w:pPr>
      <w:spacing w:after="480"/>
    </w:pPr>
    <w:rPr>
      <w:rFonts w:ascii="Calibri Light" w:eastAsiaTheme="majorEastAsia" w:hAnsi="Calibri Light" w:cs="Times New Roman (Headings CS)"/>
      <w:bCs/>
      <w:color w:val="001E45"/>
      <w:sz w:val="48"/>
      <w:szCs w:val="28"/>
    </w:rPr>
  </w:style>
  <w:style w:type="character" w:customStyle="1" w:styleId="Heading5Char">
    <w:name w:val="Heading 5 Char"/>
    <w:basedOn w:val="DefaultParagraphFont"/>
    <w:link w:val="Heading5"/>
    <w:uiPriority w:val="4"/>
    <w:rsid w:val="00CA3DFC"/>
    <w:rPr>
      <w:rFonts w:asciiTheme="minorHAnsi" w:eastAsiaTheme="majorEastAsia" w:hAnsiTheme="minorHAnsi" w:cs="Times New Roman (Headings CS)"/>
      <w:i/>
      <w:iCs/>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EF3804"/>
    <w:pPr>
      <w:numPr>
        <w:numId w:val="2"/>
      </w:numPr>
    </w:pPr>
  </w:style>
  <w:style w:type="numbering" w:customStyle="1" w:styleId="Numbers">
    <w:name w:val="Numbers"/>
    <w:basedOn w:val="NoList"/>
    <w:uiPriority w:val="99"/>
    <w:rsid w:val="00EF3804"/>
    <w:pPr>
      <w:numPr>
        <w:numId w:val="3"/>
      </w:numPr>
    </w:pPr>
  </w:style>
  <w:style w:type="paragraph" w:customStyle="1" w:styleId="Bullets1">
    <w:name w:val="Bullets 1"/>
    <w:basedOn w:val="BodyText"/>
    <w:qFormat/>
    <w:rsid w:val="00DB6119"/>
    <w:pPr>
      <w:numPr>
        <w:numId w:val="11"/>
      </w:numPr>
    </w:pPr>
  </w:style>
  <w:style w:type="paragraph" w:customStyle="1" w:styleId="Tablecolumnheading">
    <w:name w:val="Table column heading"/>
    <w:basedOn w:val="TableText"/>
    <w:uiPriority w:val="96"/>
    <w:rsid w:val="0058536A"/>
    <w:rPr>
      <w:b/>
    </w:rPr>
  </w:style>
  <w:style w:type="paragraph" w:customStyle="1" w:styleId="Numbers1">
    <w:name w:val="Numbers 1"/>
    <w:basedOn w:val="BodyText"/>
    <w:qFormat/>
    <w:rsid w:val="00DB6119"/>
    <w:pPr>
      <w:numPr>
        <w:numId w:val="3"/>
      </w:numPr>
    </w:pPr>
  </w:style>
  <w:style w:type="paragraph" w:customStyle="1" w:styleId="Numbers2">
    <w:name w:val="Numbers 2"/>
    <w:basedOn w:val="BodyText"/>
    <w:qFormat/>
    <w:rsid w:val="00DB6119"/>
  </w:style>
  <w:style w:type="paragraph" w:customStyle="1" w:styleId="TableText">
    <w:name w:val="Table Text"/>
    <w:uiPriority w:val="19"/>
    <w:qFormat/>
    <w:rsid w:val="0058536A"/>
    <w:pPr>
      <w:spacing w:after="60"/>
    </w:pPr>
    <w:rPr>
      <w:rFonts w:asciiTheme="minorHAnsi" w:hAnsiTheme="minorHAnsi"/>
    </w:rPr>
  </w:style>
  <w:style w:type="paragraph" w:customStyle="1" w:styleId="TableHeading">
    <w:name w:val="Table Heading"/>
    <w:basedOn w:val="TableText"/>
    <w:uiPriority w:val="21"/>
    <w:qFormat/>
    <w:rsid w:val="00DB6119"/>
    <w:pPr>
      <w:spacing w:before="120" w:after="240"/>
    </w:pPr>
    <w:rPr>
      <w:b/>
      <w:color w:val="00B5D1"/>
      <w:sz w:val="30"/>
    </w:rPr>
  </w:style>
  <w:style w:type="paragraph" w:customStyle="1" w:styleId="TableBullets2">
    <w:name w:val="Table Bullets 2"/>
    <w:basedOn w:val="TableText"/>
    <w:uiPriority w:val="20"/>
    <w:qFormat/>
    <w:rsid w:val="00D50C7C"/>
  </w:style>
  <w:style w:type="paragraph" w:customStyle="1" w:styleId="TableBullets1">
    <w:name w:val="Table Bullets 1"/>
    <w:basedOn w:val="TableText"/>
    <w:uiPriority w:val="20"/>
    <w:qFormat/>
    <w:rsid w:val="00D50C7C"/>
    <w:pPr>
      <w:numPr>
        <w:numId w:val="14"/>
      </w:numPr>
    </w:pPr>
  </w:style>
  <w:style w:type="paragraph" w:customStyle="1" w:styleId="TableNumbers1">
    <w:name w:val="Table Numbers 1"/>
    <w:basedOn w:val="TableText"/>
    <w:uiPriority w:val="20"/>
    <w:qFormat/>
    <w:rsid w:val="00DB6119"/>
    <w:pPr>
      <w:numPr>
        <w:numId w:val="4"/>
      </w:numPr>
      <w:spacing w:after="120"/>
      <w:ind w:left="357" w:hanging="357"/>
    </w:pPr>
  </w:style>
  <w:style w:type="paragraph" w:customStyle="1" w:styleId="TableNumbers2">
    <w:name w:val="Table Numbers 2"/>
    <w:basedOn w:val="TableText"/>
    <w:uiPriority w:val="20"/>
    <w:qFormat/>
    <w:rsid w:val="00DB6119"/>
  </w:style>
  <w:style w:type="numbering" w:customStyle="1" w:styleId="TableNumbers">
    <w:name w:val="Table Numbers"/>
    <w:basedOn w:val="NoList"/>
    <w:uiPriority w:val="99"/>
    <w:rsid w:val="00EF3804"/>
    <w:pPr>
      <w:numPr>
        <w:numId w:val="4"/>
      </w:numPr>
    </w:pPr>
  </w:style>
  <w:style w:type="numbering" w:customStyle="1" w:styleId="BulletNumberStarter">
    <w:name w:val="Bullet/Number Starter"/>
    <w:basedOn w:val="NoList"/>
    <w:uiPriority w:val="99"/>
    <w:rsid w:val="00EF3804"/>
    <w:pPr>
      <w:numPr>
        <w:numId w:val="5"/>
      </w:numPr>
    </w:pPr>
  </w:style>
  <w:style w:type="paragraph" w:styleId="ListParagraph">
    <w:name w:val="List Paragraph"/>
    <w:basedOn w:val="Normal"/>
    <w:uiPriority w:val="99"/>
    <w:semiHidden/>
    <w:qFormat/>
    <w:rsid w:val="00AD6E38"/>
    <w:pPr>
      <w:ind w:left="720"/>
      <w:contextualSpacing/>
    </w:pPr>
  </w:style>
  <w:style w:type="character" w:styleId="PageNumber">
    <w:name w:val="page number"/>
    <w:basedOn w:val="DefaultParagraphFont"/>
    <w:uiPriority w:val="99"/>
    <w:semiHidden/>
    <w:rsid w:val="00152217"/>
    <w:rPr>
      <w:b/>
      <w:sz w:val="24"/>
    </w:rPr>
  </w:style>
  <w:style w:type="paragraph" w:customStyle="1" w:styleId="Highlighttext">
    <w:name w:val="Highlight text"/>
    <w:basedOn w:val="Normal"/>
    <w:uiPriority w:val="96"/>
    <w:rsid w:val="00AB5A44"/>
    <w:pPr>
      <w:spacing w:before="120" w:after="280"/>
    </w:pPr>
    <w:rPr>
      <w:b/>
      <w:color w:val="F58146"/>
      <w:sz w:val="24"/>
    </w:rPr>
  </w:style>
  <w:style w:type="character" w:styleId="Hyperlink">
    <w:name w:val="Hyperlink"/>
    <w:basedOn w:val="DefaultParagraphFont"/>
    <w:unhideWhenUsed/>
    <w:rsid w:val="00BE75CD"/>
    <w:rPr>
      <w:color w:val="0000FF" w:themeColor="hyperlink"/>
      <w:u w:val="single"/>
    </w:rPr>
  </w:style>
  <w:style w:type="character" w:styleId="BookTitle">
    <w:name w:val="Book Title"/>
    <w:basedOn w:val="DefaultParagraphFont"/>
    <w:uiPriority w:val="99"/>
    <w:qFormat/>
    <w:rsid w:val="00BE75CD"/>
    <w:rPr>
      <w:b/>
      <w:bCs/>
      <w:i/>
      <w:iCs/>
      <w:spacing w:val="5"/>
    </w:rPr>
  </w:style>
  <w:style w:type="character" w:styleId="SubtleEmphasis">
    <w:name w:val="Subtle Emphasis"/>
    <w:basedOn w:val="DefaultParagraphFont"/>
    <w:uiPriority w:val="99"/>
    <w:qFormat/>
    <w:rsid w:val="00BE75CD"/>
    <w:rPr>
      <w:i/>
      <w:iCs/>
      <w:color w:val="404040" w:themeColor="text1" w:themeTint="BF"/>
    </w:rPr>
  </w:style>
  <w:style w:type="character" w:styleId="FootnoteReference">
    <w:name w:val="footnote reference"/>
    <w:rsid w:val="00C31706"/>
    <w:rPr>
      <w:rFonts w:asciiTheme="minorHAnsi" w:hAnsiTheme="minorHAnsi"/>
      <w:sz w:val="20"/>
      <w:vertAlign w:val="superscript"/>
    </w:rPr>
  </w:style>
  <w:style w:type="numbering" w:customStyle="1" w:styleId="ACSC-Paras-Numbered">
    <w:name w:val="ACSC-Paras-Numbered"/>
    <w:rsid w:val="00E53520"/>
    <w:pPr>
      <w:numPr>
        <w:numId w:val="15"/>
      </w:numPr>
    </w:pPr>
  </w:style>
  <w:style w:type="numbering" w:customStyle="1" w:styleId="ACSC-Bibliography-Lists">
    <w:name w:val="ACSC-Bibliography-Lists"/>
    <w:rsid w:val="00E53520"/>
    <w:pPr>
      <w:numPr>
        <w:numId w:val="16"/>
      </w:numPr>
    </w:pPr>
  </w:style>
  <w:style w:type="paragraph" w:styleId="PlainText">
    <w:name w:val="Plain Text"/>
    <w:basedOn w:val="Normal"/>
    <w:link w:val="PlainTextChar"/>
    <w:uiPriority w:val="99"/>
    <w:unhideWhenUsed/>
    <w:rsid w:val="00E53520"/>
    <w:pPr>
      <w:spacing w:after="0"/>
    </w:pPr>
    <w:rPr>
      <w:rFonts w:cs="Consolas"/>
      <w:sz w:val="22"/>
      <w:szCs w:val="21"/>
    </w:rPr>
  </w:style>
  <w:style w:type="character" w:customStyle="1" w:styleId="PlainTextChar">
    <w:name w:val="Plain Text Char"/>
    <w:basedOn w:val="DefaultParagraphFont"/>
    <w:link w:val="PlainText"/>
    <w:uiPriority w:val="99"/>
    <w:rsid w:val="00E53520"/>
    <w:rPr>
      <w:rFonts w:ascii="Calibri" w:hAnsi="Calibri" w:cs="Consolas"/>
      <w:sz w:val="22"/>
      <w:szCs w:val="21"/>
    </w:rPr>
  </w:style>
  <w:style w:type="character" w:styleId="Strong">
    <w:name w:val="Strong"/>
    <w:basedOn w:val="DefaultParagraphFont"/>
    <w:uiPriority w:val="22"/>
    <w:qFormat/>
    <w:rsid w:val="00BA5FA4"/>
    <w:rPr>
      <w:b/>
      <w:bCs/>
    </w:rPr>
  </w:style>
  <w:style w:type="character" w:styleId="EndnoteReference">
    <w:name w:val="endnote reference"/>
    <w:basedOn w:val="DefaultParagraphFont"/>
    <w:semiHidden/>
    <w:rsid w:val="00EB455B"/>
    <w:rPr>
      <w:vertAlign w:val="superscript"/>
    </w:rPr>
  </w:style>
  <w:style w:type="character" w:styleId="CommentReference">
    <w:name w:val="annotation reference"/>
    <w:basedOn w:val="DefaultParagraphFont"/>
    <w:uiPriority w:val="99"/>
    <w:semiHidden/>
    <w:unhideWhenUsed/>
    <w:rsid w:val="00A115C6"/>
    <w:rPr>
      <w:sz w:val="16"/>
      <w:szCs w:val="16"/>
    </w:rPr>
  </w:style>
  <w:style w:type="paragraph" w:styleId="CommentText">
    <w:name w:val="annotation text"/>
    <w:basedOn w:val="Normal"/>
    <w:link w:val="CommentTextChar"/>
    <w:uiPriority w:val="99"/>
    <w:semiHidden/>
    <w:unhideWhenUsed/>
    <w:rsid w:val="00A115C6"/>
  </w:style>
  <w:style w:type="character" w:customStyle="1" w:styleId="CommentTextChar">
    <w:name w:val="Comment Text Char"/>
    <w:basedOn w:val="DefaultParagraphFont"/>
    <w:link w:val="CommentText"/>
    <w:uiPriority w:val="99"/>
    <w:semiHidden/>
    <w:rsid w:val="00A115C6"/>
    <w:rPr>
      <w:rFonts w:ascii="Calibri" w:hAnsi="Calibri"/>
    </w:rPr>
  </w:style>
  <w:style w:type="paragraph" w:styleId="CommentSubject">
    <w:name w:val="annotation subject"/>
    <w:basedOn w:val="CommentText"/>
    <w:next w:val="CommentText"/>
    <w:link w:val="CommentSubjectChar"/>
    <w:uiPriority w:val="99"/>
    <w:semiHidden/>
    <w:unhideWhenUsed/>
    <w:rsid w:val="00A115C6"/>
    <w:rPr>
      <w:b/>
      <w:bCs/>
    </w:rPr>
  </w:style>
  <w:style w:type="character" w:customStyle="1" w:styleId="CommentSubjectChar">
    <w:name w:val="Comment Subject Char"/>
    <w:basedOn w:val="CommentTextChar"/>
    <w:link w:val="CommentSubject"/>
    <w:uiPriority w:val="99"/>
    <w:semiHidden/>
    <w:rsid w:val="00A115C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932">
      <w:bodyDiv w:val="1"/>
      <w:marLeft w:val="0"/>
      <w:marRight w:val="0"/>
      <w:marTop w:val="0"/>
      <w:marBottom w:val="0"/>
      <w:divBdr>
        <w:top w:val="none" w:sz="0" w:space="0" w:color="auto"/>
        <w:left w:val="none" w:sz="0" w:space="0" w:color="auto"/>
        <w:bottom w:val="none" w:sz="0" w:space="0" w:color="auto"/>
        <w:right w:val="none" w:sz="0" w:space="0" w:color="auto"/>
      </w:divBdr>
    </w:div>
    <w:div w:id="240069901">
      <w:bodyDiv w:val="1"/>
      <w:marLeft w:val="0"/>
      <w:marRight w:val="0"/>
      <w:marTop w:val="0"/>
      <w:marBottom w:val="0"/>
      <w:divBdr>
        <w:top w:val="none" w:sz="0" w:space="0" w:color="auto"/>
        <w:left w:val="none" w:sz="0" w:space="0" w:color="auto"/>
        <w:bottom w:val="none" w:sz="0" w:space="0" w:color="auto"/>
        <w:right w:val="none" w:sz="0" w:space="0" w:color="auto"/>
      </w:divBdr>
    </w:div>
    <w:div w:id="1232698119">
      <w:bodyDiv w:val="1"/>
      <w:marLeft w:val="0"/>
      <w:marRight w:val="0"/>
      <w:marTop w:val="0"/>
      <w:marBottom w:val="0"/>
      <w:divBdr>
        <w:top w:val="none" w:sz="0" w:space="0" w:color="auto"/>
        <w:left w:val="none" w:sz="0" w:space="0" w:color="auto"/>
        <w:bottom w:val="none" w:sz="0" w:space="0" w:color="auto"/>
        <w:right w:val="none" w:sz="0" w:space="0" w:color="auto"/>
      </w:divBdr>
    </w:div>
    <w:div w:id="20196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publications/strategies-to-mitigate-cyber-security-incidents"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www.cyber.gov.au/is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sd.assist@defence.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E9D5"/>
        </a:solidFill>
        <a:ln w="6350">
          <a:noFill/>
        </a:ln>
      </a:spPr>
      <a:bodyPr wrap="square" lIns="108000" tIns="108000" rIns="108000" bIns="108000" rtlCol="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12776FB4.dotm</Template>
  <TotalTime>0</TotalTime>
  <Pages>2</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2019-01-10T08:12:00Z</dcterms:created>
  <dcterms:modified xsi:type="dcterms:W3CDTF">2019-10-15T11:31:00Z</dcterms:modified>
</cp:coreProperties>
</file>